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C99" w:rsidRPr="00447C99" w:rsidRDefault="00447C99" w:rsidP="001F7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r w:rsidRPr="00447C99">
        <w:rPr>
          <w:rFonts w:ascii="Times New Roman" w:eastAsia="Times New Roman" w:hAnsi="Times New Roman" w:cs="Times New Roman"/>
          <w:sz w:val="36"/>
          <w:szCs w:val="36"/>
          <w:lang w:eastAsia="ru-RU"/>
        </w:rPr>
        <w:t>Остеология</w:t>
      </w:r>
    </w:p>
    <w:p w:rsidR="00447C99" w:rsidRPr="00447C99" w:rsidRDefault="00447C99" w:rsidP="00447C99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47C99">
        <w:rPr>
          <w:rFonts w:ascii="Arial" w:eastAsia="Times New Roman" w:hAnsi="Arial" w:cs="Arial"/>
          <w:sz w:val="60"/>
          <w:szCs w:val="60"/>
          <w:lang w:eastAsia="ru-RU"/>
        </w:rPr>
        <w:t xml:space="preserve"> </w:t>
      </w:r>
      <w:r w:rsidRPr="00447C9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Аппарат движения – </w:t>
      </w:r>
      <w:proofErr w:type="spellStart"/>
      <w:r w:rsidRPr="00447C99">
        <w:rPr>
          <w:rFonts w:ascii="Times New Roman" w:eastAsia="Times New Roman" w:hAnsi="Times New Roman" w:cs="Times New Roman"/>
          <w:sz w:val="36"/>
          <w:szCs w:val="36"/>
          <w:lang w:eastAsia="ru-RU"/>
        </w:rPr>
        <w:t>apparatus</w:t>
      </w:r>
      <w:proofErr w:type="spellEnd"/>
      <w:r w:rsidRPr="00447C9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spellStart"/>
      <w:r w:rsidRPr="00447C99">
        <w:rPr>
          <w:rFonts w:ascii="Times New Roman" w:eastAsia="Times New Roman" w:hAnsi="Times New Roman" w:cs="Times New Roman"/>
          <w:sz w:val="36"/>
          <w:szCs w:val="36"/>
          <w:lang w:eastAsia="ru-RU"/>
        </w:rPr>
        <w:t>locomotorius</w:t>
      </w:r>
      <w:proofErr w:type="spellEnd"/>
    </w:p>
    <w:p w:rsidR="00DD44F1" w:rsidRDefault="00447C99" w:rsidP="00DD4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Прогрессивному развитию млекопитающих, занявших господствующее положение в царстве животных, способствовала их высокая двигательная активность, выразившаяся в возникновении совершенных и весьма разнообразных способов передвижения (ходьба, бег, лазанье, плавание, полет) и адаптация к различным средам и условиям существования (неземное, подземное, наземно-древесное, водное). Передвижение животного служит необходимым условием в обеспечении важнейших функций организма: поиск и захват пищи, активная защита и нападение, осуществление функции дыхания, выработка тепла и сохранение постоянства температуры тела (у теплокровных), участие в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</w:t>
      </w:r>
      <w:proofErr w:type="gram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лимфообращении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мочеиспускании, дефекации, осеменении и родах. Все многообразие и разнообразие функциональных отправлений осуществляется благодаря </w:t>
      </w:r>
      <w:proofErr w:type="gram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нерв-ной</w:t>
      </w:r>
      <w:proofErr w:type="gram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при активном участии всех других систем и органов, обеспечивающих обменные процессы в организме. </w:t>
      </w:r>
    </w:p>
    <w:p w:rsidR="00447C99" w:rsidRPr="00447C99" w:rsidRDefault="00447C99" w:rsidP="00DD4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 движения включает в свой состав две системы: скелетную (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systemaskeletale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мышечную (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systemamuscaulare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представляющих собой совокупность разнообразных органов, которые условно можно подразделить на пассивные, выполняющие опорную роль, функцию рычагов и защиты жизненно важных органов (кости скелета, хрящевые образования), и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ак-тивные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обеспечивающие функцию сокращения (скелетные мышцы с их вспомогательными органами: фасции, бурсы, сухожильные влагалища,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сесамовидные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кости).</w:t>
      </w:r>
      <w:proofErr w:type="gram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пассивные, так и активные органы аппарата движения имеют общее происхождение из среднего зародышевого листка (мезодермы) и находятся между собой в тесной морфофункциональной взаимозависимости. </w:t>
      </w:r>
      <w:proofErr w:type="gram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видовых, породных и возрастных особенностей строения и развития органов локомоторного аппарата имеет большое значение как для теоретических обоснований эволюционных преобразований, происходивших в организме животных в процессе их исторического развития, так и для практического использования в повседневной деятельности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зооветспециалистов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оценка рабочих и продуктивных качеств животного, тренинг, оказание необходимой врачебной помощи при ушибах, травмах, переломах, различных воспалительных процессах. </w:t>
      </w:r>
      <w:proofErr w:type="gramEnd"/>
    </w:p>
    <w:p w:rsidR="00447C99" w:rsidRPr="00DD44F1" w:rsidRDefault="00447C99" w:rsidP="00DD4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Пассивная часть аппарата движения</w:t>
      </w:r>
    </w:p>
    <w:p w:rsidR="00447C99" w:rsidRPr="00447C99" w:rsidRDefault="00447C99" w:rsidP="00DD4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Костная система</w:t>
      </w:r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systema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skeletale</w:t>
      </w:r>
      <w:proofErr w:type="spellEnd"/>
    </w:p>
    <w:p w:rsidR="00DD44F1" w:rsidRDefault="00447C99" w:rsidP="00DD4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Кости, закономерно соединенные между собой посредством фиброзной, хрящевой или костной тканей, составляют прочный остов тела животного, или его скелет –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skeleton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(гр.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skeletos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высохший, иссохший; от </w:t>
      </w:r>
      <w:proofErr w:type="spellStart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>skele</w:t>
      </w:r>
      <w:proofErr w:type="spellEnd"/>
      <w:r w:rsidRPr="00447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сушу). Скелет может быть наружным, развивающимся в коже и выполняющим преимущественно защитную роль (кожный скелет и покровные кости скелета головы низших позвоночных, панцирь тела черепахи), и внутренний, который развивается из мезенхимы и располагается под кожей тела животного. Млекопитающие имеют лишь внутренний скелет, в состав которого вошли некоторые кости кожного происхождения (отдельные кости лица и черепа, зубы, роговые отростки л</w:t>
      </w:r>
      <w:r w:rsidRPr="00447C99">
        <w:rPr>
          <w:rFonts w:ascii="Times New Roman" w:hAnsi="Times New Roman" w:cs="Times New Roman"/>
          <w:sz w:val="24"/>
          <w:szCs w:val="24"/>
        </w:rPr>
        <w:t xml:space="preserve">обных костей жвачных, рога оленьих) и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развившиеся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из соединительной ткани как вспомогательные органы скелетных мышц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сесамовидные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кости). У некоторых видов животных имеются костные образования, которые не входят в состав скелета, но выполняют важную вспомогательную роль при осуществлении каких-либо специфических функций (хоботковая кость свиньи, кость полового члена некоторых хищных, кости сердца крупных жвачных). Кости скелета выполняют разнообразные механические и биологические функции. Механическая функция костей заключается в том, что они служат прочным остовом тела животного, обеспечивают надежную защиту и нормальное функционирование всех его жизненно важных органов, заключенных в полостях скелета головы, позвоночном канале,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груд-ной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, брюшной и тазовой полостях тела. Кости скелета – это сложная система рычагов, обеспечивающая осуществление разнообразной динамики и статики тела животного. Биологическая функция костей </w:t>
      </w:r>
      <w:r w:rsidRPr="00447C99">
        <w:rPr>
          <w:rFonts w:ascii="Times New Roman" w:hAnsi="Times New Roman" w:cs="Times New Roman"/>
          <w:sz w:val="24"/>
          <w:szCs w:val="24"/>
        </w:rPr>
        <w:lastRenderedPageBreak/>
        <w:t xml:space="preserve">проявляется в том, что они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выполняют роль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основных депо минеральных солей (кальция, фосфора, железа и др.) и служат вместилищем костного мозга, имеющего большое значение в кроветворной функции. Для каждого вида животных скелет имеет свои характерные признаки, позволяющие с должной достоверностью су</w:t>
      </w:r>
      <w:r w:rsidR="00DD44F1">
        <w:rPr>
          <w:rFonts w:ascii="Times New Roman" w:hAnsi="Times New Roman" w:cs="Times New Roman"/>
          <w:sz w:val="24"/>
          <w:szCs w:val="24"/>
        </w:rPr>
        <w:t xml:space="preserve">дить о внешнем облике животного. </w:t>
      </w:r>
      <w:r w:rsidRPr="00447C99">
        <w:rPr>
          <w:rFonts w:ascii="Times New Roman" w:hAnsi="Times New Roman" w:cs="Times New Roman"/>
          <w:sz w:val="24"/>
          <w:szCs w:val="24"/>
        </w:rPr>
        <w:t xml:space="preserve">По состоянию и степени развития отдельных костей можно говорить о зрелости организма, особенностях его конституции, продуктивных качествах и физических возможностях. Все это необходимо как для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зооинженера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при оценке экстерьерных и интерьерных показателей различных видов животных, так и для ветеринарных специалистов при проведении диагностических, профилактических и лечебных мероприятий. Для ветеринарного врача скелет – это своеобразная «координатная сетка», позволяющая судить о местоположении всех жизненно важных органов, магистральных сосудов и нервов. По состоянию костной системы контролируется интенсивность минерального обмена (с помощью рентгенографии, рентгеноскопии, радиоактивных изотопов) и кроветворной функции (биопсия костного мозга), что имеет не только</w:t>
      </w:r>
      <w:r w:rsidR="00DD44F1">
        <w:rPr>
          <w:rFonts w:ascii="Times New Roman" w:hAnsi="Times New Roman" w:cs="Times New Roman"/>
          <w:sz w:val="24"/>
          <w:szCs w:val="24"/>
        </w:rPr>
        <w:t>,</w:t>
      </w:r>
      <w:r w:rsidRPr="00447C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="00DD44F1">
        <w:rPr>
          <w:rFonts w:ascii="Times New Roman" w:hAnsi="Times New Roman" w:cs="Times New Roman"/>
          <w:sz w:val="24"/>
          <w:szCs w:val="24"/>
        </w:rPr>
        <w:t>,</w:t>
      </w:r>
      <w:r w:rsidRPr="00447C99">
        <w:rPr>
          <w:rFonts w:ascii="Times New Roman" w:hAnsi="Times New Roman" w:cs="Times New Roman"/>
          <w:sz w:val="24"/>
          <w:szCs w:val="24"/>
        </w:rPr>
        <w:t xml:space="preserve"> при постановке правильного диагноза, прогнозировании исхода заболевания, но и при назначении наиболее эффективных профилактических и терапевтических манипуляций. </w:t>
      </w:r>
    </w:p>
    <w:p w:rsidR="00447C99" w:rsidRPr="00447C99" w:rsidRDefault="00447C99" w:rsidP="00DD4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Общее количество костей в скелете подвержено значительным колебаниям, что зависит от видовых, породных и индивидуальных особенностей организма Масса костей по отношению к массе тела животного колеблется в пределах от 7 до 15 % и находится в зависимости от вида животного, его упитанности, породы и возраста. Даже в пределах одного вида отношение массы скелета к массе тела может иметь значительные различия. Так, у овец мясных пород на скелет приходится 9 %, у шерстных – 15 %; у свиней откормленных – 6 %, а у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неоткормленных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9 %; у новорожденных телят симментальской породы – 24,4 %, в возрасте 1,5 лет – 11,3 % и у взрослых – 10 %.</w:t>
      </w:r>
    </w:p>
    <w:p w:rsidR="00C03A29" w:rsidRPr="00447C99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Из костей скелета больший удельный вес приходится на скелет конечностей (51 %), затем на кости скелета туловища (33 %) и в меньшей степени на скелет головы (16 %). Скелет тазовых конечностей по отношению к скелету грудных конечностей более тяжелый и составляет 2/3 от их общей массы. Последнее находится в прямой зависимости от их неравнозначной функции.</w:t>
      </w:r>
    </w:p>
    <w:p w:rsidR="00DD44F1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DD44F1">
        <w:rPr>
          <w:rFonts w:ascii="Times New Roman" w:hAnsi="Times New Roman" w:cs="Times New Roman"/>
          <w:b/>
          <w:sz w:val="24"/>
          <w:szCs w:val="24"/>
        </w:rPr>
        <w:t>Кость как орган</w:t>
      </w:r>
      <w:r w:rsidR="00DD44F1">
        <w:rPr>
          <w:rFonts w:ascii="Times New Roman" w:hAnsi="Times New Roman" w:cs="Times New Roman"/>
          <w:b/>
          <w:sz w:val="24"/>
          <w:szCs w:val="24"/>
        </w:rPr>
        <w:t>.</w:t>
      </w:r>
      <w:r w:rsidRPr="00447C99">
        <w:rPr>
          <w:rFonts w:ascii="Times New Roman" w:hAnsi="Times New Roman" w:cs="Times New Roman"/>
          <w:sz w:val="24"/>
          <w:szCs w:val="24"/>
        </w:rPr>
        <w:t xml:space="preserve"> Кость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ossis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имеет сложное строение и разнообразную форму, обусловленную особенностями ее развития, топографией и выполняемой функцией. Основу кости составляет костная ткань, в которой наряду с клеточными элементами имеются волокнистые структуры и межклеточное аморфное вещество, пропитанное минеральными солями. </w:t>
      </w:r>
    </w:p>
    <w:p w:rsidR="00447C99" w:rsidRPr="00447C99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По химическому составу кость взрослого животного, извлеченная из организма и не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под-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вергшаяся</w:t>
      </w:r>
      <w:proofErr w:type="spellEnd"/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фиксации консервирующими жидкостями или высушиванию, состоит на 50 % из воды, 15,5 % жира, 12,5 % органических и 22 % неорганических веществ, представленных в виде различных соединений</w:t>
      </w:r>
      <w:r w:rsidR="00DD44F1">
        <w:rPr>
          <w:rFonts w:ascii="Times New Roman" w:hAnsi="Times New Roman" w:cs="Times New Roman"/>
          <w:sz w:val="24"/>
          <w:szCs w:val="24"/>
        </w:rPr>
        <w:t xml:space="preserve">. </w:t>
      </w:r>
      <w:r w:rsidRPr="00447C99">
        <w:rPr>
          <w:rFonts w:ascii="Times New Roman" w:hAnsi="Times New Roman" w:cs="Times New Roman"/>
          <w:sz w:val="24"/>
          <w:szCs w:val="24"/>
        </w:rPr>
        <w:t xml:space="preserve">Отношение органических веществ к неорганическим и процентное содержание минеральных соединений в костях подвержено значительным колебаниям, что зависит от вида и породы животного, его возраста, условий содержания, питания, сезона года и физического состояния (усиленная работа, уровень молочной продуктивности, беременность, болезнь). В этом можно убедиться при сравнении костей молодого животного, у которого кости мягкие и эластичные за счет содержания большого количества органических веществ, и старого животного, у которого в силу минерализации кости становятся менее эластичными и более </w:t>
      </w:r>
      <w:r w:rsidRPr="00447C99">
        <w:rPr>
          <w:rFonts w:ascii="Times New Roman" w:hAnsi="Times New Roman" w:cs="Times New Roman"/>
          <w:sz w:val="24"/>
          <w:szCs w:val="24"/>
        </w:rPr>
        <w:t xml:space="preserve">хрупкими. </w:t>
      </w:r>
      <w:r w:rsidRPr="00447C99">
        <w:rPr>
          <w:rFonts w:ascii="Times New Roman" w:hAnsi="Times New Roman" w:cs="Times New Roman"/>
          <w:sz w:val="24"/>
          <w:szCs w:val="24"/>
        </w:rPr>
        <w:t xml:space="preserve">Процентное соотношение органических веществ к неорганическим в сочетании с </w:t>
      </w:r>
      <w:proofErr w:type="spellStart"/>
      <w:proofErr w:type="gramStart"/>
      <w:r w:rsidRPr="00447C99">
        <w:rPr>
          <w:rFonts w:ascii="Times New Roman" w:hAnsi="Times New Roman" w:cs="Times New Roman"/>
          <w:sz w:val="24"/>
          <w:szCs w:val="24"/>
        </w:rPr>
        <w:t>особен-ностями</w:t>
      </w:r>
      <w:proofErr w:type="spellEnd"/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внешней формы и внутренней архитектоники обеспечивает костям большую </w:t>
      </w:r>
      <w:r w:rsidRPr="00447C99">
        <w:rPr>
          <w:rFonts w:ascii="Times New Roman" w:hAnsi="Times New Roman" w:cs="Times New Roman"/>
          <w:sz w:val="24"/>
          <w:szCs w:val="24"/>
        </w:rPr>
        <w:lastRenderedPageBreak/>
        <w:t>прочность, эластичность, что подтверждается высокими показателями их сопротивляемости на сжатие, изгиб и скручивание</w:t>
      </w:r>
    </w:p>
    <w:p w:rsidR="00447C99" w:rsidRPr="00447C99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Наивысшей сопротивляемостью на изгиб, сжатие и растяжение отличаются кости скелета конечностей. Так, свежие кости пясти коровы симментальской породы способны выдержать на сжатие груз, равный 1590 кг/см</w:t>
      </w:r>
      <w:proofErr w:type="gramStart"/>
      <w:r w:rsidR="00DD44F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Большой прочностью обладают кости голени, предплечья и фаланги пальцев.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Эпифизарные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концы трубчатых костей после начала окостенения еще некоторое время сохраняют хрящевое строение. Затем за счет появления здесь обоих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эндохондральных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очагов окостенения (центр вторичного окостенения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centrumossification</w:t>
      </w:r>
      <w:proofErr w:type="spellEnd"/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issecundarium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 происходит постепенное замещение хряща костной тканью. По мере развития в эпифизах губчатого вещества и истончения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метафизарного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хряща происходит постепенное их сближение, в результате чего у взрослых животных сохраняется лишь тонкая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метафизарная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линия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lineametaphysialis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), которая у старых животных полностью исчезает. Полное замещение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метафизарного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хряща костной тканью и срастание диафиза с эпифизами свидетельствует о завершении роста кости в длину, что служит показателем наступления зрелости костяка животного, которая не совпадает по срокам ни с пол</w:t>
      </w:r>
      <w:r w:rsidRPr="00447C99">
        <w:rPr>
          <w:rFonts w:ascii="Times New Roman" w:hAnsi="Times New Roman" w:cs="Times New Roman"/>
          <w:sz w:val="24"/>
          <w:szCs w:val="24"/>
        </w:rPr>
        <w:t>овой, ни с физической зрелостью.</w:t>
      </w:r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 xml:space="preserve">Сроки наступления половой, физической и зрелости костяка у каждого вида домашних животных имеют некоторые колебания, что зависит от породных, индивидуальных, климатических и сезонных особенностей, а также от условий содержания и питания. Их необходимо учитывать как в зоотехнической, так и в ветеринарной практике, особенно в селекционной и племенной работе, при оказании лечебной помощи и при прогнозировании исходов заболеваний, связанных с нарушениями в костной системе. </w:t>
      </w:r>
    </w:p>
    <w:p w:rsidR="00DD44F1" w:rsidRDefault="00DD44F1" w:rsidP="00DD44F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47C99" w:rsidRPr="00DD44F1">
        <w:rPr>
          <w:rFonts w:ascii="Times New Roman" w:hAnsi="Times New Roman" w:cs="Times New Roman"/>
          <w:b/>
          <w:sz w:val="28"/>
          <w:szCs w:val="28"/>
        </w:rPr>
        <w:t>троение костей и особенности их внутренней архитектоники</w:t>
      </w:r>
    </w:p>
    <w:p w:rsidR="00DD44F1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(рисунки прилагаются в виде файла)</w:t>
      </w:r>
    </w:p>
    <w:p w:rsidR="00DD44F1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Каждая кость, независимо от размеров и формы, должна рассматриваться с позиций целостного органа, имеющего сложное строение, богатую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васкуляризацию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и иннервацию. Снаружи кость, за исключением суставных поверхностей, покрыта надкостницей. За надкостницей располагается собственно костная ткань, являющаяся продуктом жизнедеятельности костеобразовательных клеток – остеобластов, которые в большей степени концентрируются в надкостнице,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эндоосте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и в области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метафизарного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хряща. НАДКОСТНИ</w:t>
      </w:r>
      <w:r w:rsidR="00DD44F1">
        <w:rPr>
          <w:rFonts w:ascii="Times New Roman" w:hAnsi="Times New Roman" w:cs="Times New Roman"/>
          <w:sz w:val="24"/>
          <w:szCs w:val="24"/>
        </w:rPr>
        <w:t>Ц</w:t>
      </w:r>
      <w:r w:rsidRPr="00447C99">
        <w:rPr>
          <w:rFonts w:ascii="Times New Roman" w:hAnsi="Times New Roman" w:cs="Times New Roman"/>
          <w:sz w:val="24"/>
          <w:szCs w:val="24"/>
        </w:rPr>
        <w:t xml:space="preserve">А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periosteum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имеет двухслойное строение и с помощью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прободающихволокон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fibraperforans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 через специальные многочисленные канальцы проникает в поверхностные слои костного вещества. </w:t>
      </w:r>
    </w:p>
    <w:p w:rsidR="00DD44F1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Поверхностный, или волокнистый, слой надкостницы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stratumfibrosum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построен из плотной фиброзной ткани и содержит большое число кровеносных сосудов и нервов, за счет которых кость в организме имеет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слаборозовую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окраску и большую чувствительность. </w:t>
      </w:r>
    </w:p>
    <w:p w:rsidR="00DD44F1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Фиброзный слой надкостницы в местах прикрепления связок и сухожилий мышц к костям имеет наибольшую толщину. </w:t>
      </w:r>
    </w:p>
    <w:p w:rsidR="00DD44F1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Внутренний, или камбиальный, слой надкостницы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stratumcambiale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имеет более </w:t>
      </w:r>
      <w:proofErr w:type="spellStart"/>
      <w:proofErr w:type="gramStart"/>
      <w:r w:rsidRPr="00447C99">
        <w:rPr>
          <w:rFonts w:ascii="Times New Roman" w:hAnsi="Times New Roman" w:cs="Times New Roman"/>
          <w:sz w:val="24"/>
          <w:szCs w:val="24"/>
        </w:rPr>
        <w:t>неж-ное</w:t>
      </w:r>
      <w:proofErr w:type="spellEnd"/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строение, беден сосудами, но богат содержанием остеогенных клеток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osteoblastus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), за счет которых происходит рост кости в толщину. С возрастом остеогенная функция надкостницы снижается и активизируется лишь при ее травматических повреждениях или </w:t>
      </w:r>
      <w:r w:rsidRPr="00447C99">
        <w:rPr>
          <w:rFonts w:ascii="Times New Roman" w:hAnsi="Times New Roman" w:cs="Times New Roman"/>
          <w:sz w:val="24"/>
          <w:szCs w:val="24"/>
        </w:rPr>
        <w:lastRenderedPageBreak/>
        <w:t>при каких-либо специфических заболеваниях, сопровождающихся изменениями обменных процессов, происходящих в костной ткани. У старых животных (в отличие от молодых и зрелых) остеобласты в камбиальном слое надкостницы располагаются отдельными островками, что в значительной степени снижает ее костеобразовательную функцию. Кровеносные сосуды надкостницы, проникая вглубь кости через многочисленные сосудистые</w:t>
      </w:r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отверстия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foramina</w:t>
      </w:r>
      <w:proofErr w:type="spellEnd"/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vasculosa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), участвуют в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кровоснабжении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как костной ткани, так и костного мозга. В трубчатых костях наиболее крупные сосудистые отверстия ведут в питательные</w:t>
      </w:r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каналы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canales</w:t>
      </w:r>
      <w:proofErr w:type="spellEnd"/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nutricii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), которые отличаются постоянством своего расположения и служат для прохождения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экстраорганных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сосудов и нервов непосредственно в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костномозговую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по-лость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D44F1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В КОМПАКТНОМ ВЕ</w:t>
      </w:r>
      <w:r w:rsidR="00DD44F1">
        <w:rPr>
          <w:rFonts w:ascii="Times New Roman" w:hAnsi="Times New Roman" w:cs="Times New Roman"/>
          <w:sz w:val="24"/>
          <w:szCs w:val="24"/>
        </w:rPr>
        <w:t>Щ</w:t>
      </w:r>
      <w:r w:rsidRPr="00447C99">
        <w:rPr>
          <w:rFonts w:ascii="Times New Roman" w:hAnsi="Times New Roman" w:cs="Times New Roman"/>
          <w:sz w:val="24"/>
          <w:szCs w:val="24"/>
        </w:rPr>
        <w:t>ЕСТВЕ трубчатых костей структурной единицей служит остеон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osteonum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), представляющий собой систему из 4 – 20 костных трубочек, вставленных одна в другую и по границам скрепленных между собой многочисленными отростками костных клеток</w:t>
      </w:r>
      <w:r w:rsidR="00DD44F1">
        <w:rPr>
          <w:rFonts w:ascii="Times New Roman" w:hAnsi="Times New Roman" w:cs="Times New Roman"/>
          <w:sz w:val="24"/>
          <w:szCs w:val="24"/>
        </w:rPr>
        <w:t>.</w:t>
      </w:r>
    </w:p>
    <w:p w:rsidR="001F7FC2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  Общее количество остеонов в длинных трубчатых костях может достигать 5 тысяч и более. Остеоны ориентированы вдоль сил сжатия, испытываемых костью при функциональных нагрузках. Каждая циркулярная пластинка имеет противоположное, по сравнению с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соседними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>, направление и угол наклона к продольной оси остеона в 45°, что обеспечивает крепость кости на изгиб и скручивание</w:t>
      </w:r>
      <w:r w:rsidR="00DD44F1">
        <w:rPr>
          <w:rFonts w:ascii="Times New Roman" w:hAnsi="Times New Roman" w:cs="Times New Roman"/>
          <w:sz w:val="24"/>
          <w:szCs w:val="24"/>
        </w:rPr>
        <w:t>.</w:t>
      </w:r>
      <w:r w:rsidRPr="00447C99">
        <w:rPr>
          <w:rFonts w:ascii="Times New Roman" w:hAnsi="Times New Roman" w:cs="Times New Roman"/>
          <w:sz w:val="24"/>
          <w:szCs w:val="24"/>
        </w:rPr>
        <w:t xml:space="preserve"> Между остеонами располагаются вставочные</w:t>
      </w:r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пластинки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lamellaein</w:t>
      </w:r>
      <w:proofErr w:type="spellEnd"/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tercalatae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), которые вместе с остеонами заполняют пространство между наружными и внутренними окружающими пластинками. Наружная окружающая пластинка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laminacircum</w:t>
      </w:r>
      <w:proofErr w:type="spellEnd"/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ferentialis</w:t>
      </w:r>
      <w:proofErr w:type="spellEnd"/>
      <w:r w:rsidR="00DD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externa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 граничит с внутренним слоем надкостницы, а внутренняя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laminacircum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ferentia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lisinterna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 – вместе с покрывающей ее тонкой соединительнотканной оболочкой, или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эндостом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endosteum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), участвует в образовании мозговой</w:t>
      </w:r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полости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cavum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medullare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), заполненной костным мозгом.</w:t>
      </w:r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r w:rsidRPr="00447C99">
        <w:rPr>
          <w:rFonts w:ascii="Times New Roman" w:hAnsi="Times New Roman" w:cs="Times New Roman"/>
          <w:sz w:val="24"/>
          <w:szCs w:val="24"/>
        </w:rPr>
        <w:t>Внутренние и наружные окружающие пластинки по направлению к концевым участкам тела кости расходятся друг от друга и образуют костные перекладины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trabecula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eosseae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), которые, перекрещиваясь с таковыми противоположной стороны, образуют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трабекулярное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губчатое вещество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substantias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pongiosa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trabeculosa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). Ячейки губчатого вещества заполнены красным костным мозгом.</w:t>
      </w:r>
    </w:p>
    <w:p w:rsidR="00447C99" w:rsidRPr="00447C99" w:rsidRDefault="00447C99" w:rsidP="00DD4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СУСТАВНО</w:t>
      </w:r>
      <w:r w:rsidR="001F7FC2">
        <w:rPr>
          <w:rFonts w:ascii="Times New Roman" w:hAnsi="Times New Roman" w:cs="Times New Roman"/>
          <w:sz w:val="24"/>
          <w:szCs w:val="24"/>
        </w:rPr>
        <w:t>Й</w:t>
      </w:r>
      <w:r w:rsidRPr="00447C99">
        <w:rPr>
          <w:rFonts w:ascii="Times New Roman" w:hAnsi="Times New Roman" w:cs="Times New Roman"/>
          <w:sz w:val="24"/>
          <w:szCs w:val="24"/>
        </w:rPr>
        <w:t xml:space="preserve"> </w:t>
      </w:r>
      <w:r w:rsidR="001F7FC2">
        <w:rPr>
          <w:rFonts w:ascii="Times New Roman" w:hAnsi="Times New Roman" w:cs="Times New Roman"/>
          <w:sz w:val="24"/>
          <w:szCs w:val="24"/>
        </w:rPr>
        <w:t>ХРЯЩ</w:t>
      </w:r>
      <w:r w:rsidRPr="00447C9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cartilago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articularis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построен из гиалинового хряща, который </w:t>
      </w:r>
      <w:proofErr w:type="spellStart"/>
      <w:proofErr w:type="gramStart"/>
      <w:r w:rsidRPr="00447C99">
        <w:rPr>
          <w:rFonts w:ascii="Times New Roman" w:hAnsi="Times New Roman" w:cs="Times New Roman"/>
          <w:sz w:val="24"/>
          <w:szCs w:val="24"/>
        </w:rPr>
        <w:t>по-крывает</w:t>
      </w:r>
      <w:proofErr w:type="spellEnd"/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поверхности эпифизов, обращенных в полость сустава</w:t>
      </w:r>
      <w:r w:rsidR="001F7FC2">
        <w:rPr>
          <w:rFonts w:ascii="Times New Roman" w:hAnsi="Times New Roman" w:cs="Times New Roman"/>
          <w:sz w:val="24"/>
          <w:szCs w:val="24"/>
        </w:rPr>
        <w:t>.</w:t>
      </w:r>
      <w:r w:rsidRPr="00447C99">
        <w:rPr>
          <w:rFonts w:ascii="Times New Roman" w:hAnsi="Times New Roman" w:cs="Times New Roman"/>
          <w:sz w:val="24"/>
          <w:szCs w:val="24"/>
        </w:rPr>
        <w:t xml:space="preserve"> Основное вещество гиалинового хряща имеет гомогенную (однородную), полупрозрачную структуру в виде массы молочно-белого цвета с синеватым оттенком. Поверхности суставных хрящей, смоченные синовиальной жидкостью, обеспечивают легкое смещение сочленяющихся костей при движениях, а также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выполняют роль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своеобразных буферов для костей при их сдавливании.</w:t>
      </w:r>
    </w:p>
    <w:p w:rsidR="001F7FC2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КОСТН</w:t>
      </w:r>
      <w:r w:rsidR="001F7FC2">
        <w:rPr>
          <w:rFonts w:ascii="Times New Roman" w:hAnsi="Times New Roman" w:cs="Times New Roman"/>
          <w:sz w:val="24"/>
          <w:szCs w:val="24"/>
        </w:rPr>
        <w:t>ЫЙ</w:t>
      </w:r>
      <w:r w:rsidRPr="00447C99">
        <w:rPr>
          <w:rFonts w:ascii="Times New Roman" w:hAnsi="Times New Roman" w:cs="Times New Roman"/>
          <w:sz w:val="24"/>
          <w:szCs w:val="24"/>
        </w:rPr>
        <w:t xml:space="preserve"> МОЗГ –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medullaossium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– у взрослых млекопитающих и птиц подразделяется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красный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medullaos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siumrubra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>) и желтый, или жировой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medullaos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siumflava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заполняет диафизы трубчатых костей и состоит из жировой ткани с отдельными островками ретикулярной ткани. Красный костный мозг находится в губчатом веществе костей (в телах позвонков, ребрах, сегментах грудины, эпифизах трубчатых костей, костях основания черепа). Красный костный мозг – это орган миелоидного кроветворения и представляет собой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гемоцитопоэтическую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ткань, где происходит развитие форменных элементов крови. Взаимный переход красного костного мозга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желтый и наоборот происходит без четких границ. При больших кровопотерях </w:t>
      </w:r>
      <w:r w:rsidRPr="00447C99">
        <w:rPr>
          <w:rFonts w:ascii="Times New Roman" w:hAnsi="Times New Roman" w:cs="Times New Roman"/>
          <w:sz w:val="24"/>
          <w:szCs w:val="24"/>
        </w:rPr>
        <w:lastRenderedPageBreak/>
        <w:t xml:space="preserve">желтый костный мозг может возобновить свою миелоидную функцию и стать красным костным мозгом. При недостаточном питании, голодании, старости и изнуряющих болезнях желтый костный мозг заменяется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желатинозным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 мозгом (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medullaos</w:t>
      </w:r>
      <w:proofErr w:type="spellEnd"/>
      <w:r w:rsidR="001F7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siumgelatinosa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). Масса костного мозга по отношению к массе костей у взрослых коров составляет 43 – 45 %, из которых 55 % содержится в костях осевого скелета. Соотношение между красным и желтым костным мозгом у 20-дневных телят составляет 9:1, а у взрослых – 1:1 (З.И. </w:t>
      </w:r>
      <w:proofErr w:type="spellStart"/>
      <w:r w:rsidRPr="00447C99">
        <w:rPr>
          <w:rFonts w:ascii="Times New Roman" w:hAnsi="Times New Roman" w:cs="Times New Roman"/>
          <w:sz w:val="24"/>
          <w:szCs w:val="24"/>
        </w:rPr>
        <w:t>Бродовская</w:t>
      </w:r>
      <w:proofErr w:type="spellEnd"/>
      <w:r w:rsidRPr="00447C99">
        <w:rPr>
          <w:rFonts w:ascii="Times New Roman" w:hAnsi="Times New Roman" w:cs="Times New Roman"/>
          <w:sz w:val="24"/>
          <w:szCs w:val="24"/>
        </w:rPr>
        <w:t xml:space="preserve">, 1968). У взрослых птиц костный мозг имеется почти во всех костях, но в костях черепа, дистальных звеньях конечностей и в плечевой кости его содержится очень мало. Последним можно объяснить большую чувствительность птиц к кровопотерям. Красный костный мозг у домашних млекопитающих начинает развиваться в ранний период образования хрящевого скелета, а у птиц – с 10-дневного возраста эмбрионального развития. </w:t>
      </w:r>
    </w:p>
    <w:p w:rsidR="001F7FC2" w:rsidRDefault="00447C99" w:rsidP="001F7F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СОСУД</w:t>
      </w:r>
      <w:r w:rsidR="001F7FC2">
        <w:rPr>
          <w:rFonts w:ascii="Times New Roman" w:hAnsi="Times New Roman" w:cs="Times New Roman"/>
          <w:sz w:val="24"/>
          <w:szCs w:val="24"/>
        </w:rPr>
        <w:t>Ы</w:t>
      </w:r>
      <w:r w:rsidRPr="00447C99">
        <w:rPr>
          <w:rFonts w:ascii="Times New Roman" w:hAnsi="Times New Roman" w:cs="Times New Roman"/>
          <w:sz w:val="24"/>
          <w:szCs w:val="24"/>
        </w:rPr>
        <w:t xml:space="preserve"> КОСТЕ</w:t>
      </w:r>
      <w:r w:rsidR="001F7FC2">
        <w:rPr>
          <w:rFonts w:ascii="Times New Roman" w:hAnsi="Times New Roman" w:cs="Times New Roman"/>
          <w:sz w:val="24"/>
          <w:szCs w:val="24"/>
        </w:rPr>
        <w:t>Й</w:t>
      </w:r>
      <w:r w:rsidRPr="00447C99">
        <w:rPr>
          <w:rFonts w:ascii="Times New Roman" w:hAnsi="Times New Roman" w:cs="Times New Roman"/>
          <w:sz w:val="24"/>
          <w:szCs w:val="24"/>
        </w:rPr>
        <w:t>. Каждая кость снабжена кровеносными сосудами, которые входят в костное вещество со стороны надкостницы через мельчайшие отверстия, ведущие в сосудистые канальцы, соединяющиеся с каналами остеонов</w:t>
      </w:r>
      <w:r w:rsidR="001F7FC2">
        <w:rPr>
          <w:rFonts w:ascii="Times New Roman" w:hAnsi="Times New Roman" w:cs="Times New Roman"/>
          <w:sz w:val="24"/>
          <w:szCs w:val="24"/>
        </w:rPr>
        <w:t>.</w:t>
      </w:r>
      <w:r w:rsidRPr="00447C99">
        <w:rPr>
          <w:rFonts w:ascii="Times New Roman" w:hAnsi="Times New Roman" w:cs="Times New Roman"/>
          <w:sz w:val="24"/>
          <w:szCs w:val="24"/>
        </w:rPr>
        <w:t xml:space="preserve"> Сосудистые отверстия в большей степени концентрируются вблизи эпифизов, где их число достигает 25 – 30 </w:t>
      </w:r>
    </w:p>
    <w:p w:rsidR="00447C99" w:rsidRDefault="00447C99" w:rsidP="001F7F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>на 1 см</w:t>
      </w:r>
      <w:proofErr w:type="gramStart"/>
      <w:r w:rsidRPr="001F7FC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. На диафизе, как правило, располагается одно крупное питательное отверстие, ведущее в питательный канал, по которому кровеносные сосуды проходят непосредственно в полость кости и там делятся на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ветви, направляющиеся к эпифизам Венозные сосуды из длинных трубчатых костей выходят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в большей степени через сосудистые отверстия эпифизов.</w:t>
      </w:r>
    </w:p>
    <w:p w:rsidR="00447C99" w:rsidRPr="00447C99" w:rsidRDefault="00447C99" w:rsidP="00DD44F1">
      <w:pPr>
        <w:jc w:val="both"/>
        <w:rPr>
          <w:rFonts w:ascii="Times New Roman" w:hAnsi="Times New Roman" w:cs="Times New Roman"/>
          <w:sz w:val="24"/>
          <w:szCs w:val="24"/>
        </w:rPr>
      </w:pPr>
      <w:r w:rsidRPr="00447C99">
        <w:rPr>
          <w:rFonts w:ascii="Times New Roman" w:hAnsi="Times New Roman" w:cs="Times New Roman"/>
          <w:sz w:val="24"/>
          <w:szCs w:val="24"/>
        </w:rPr>
        <w:t xml:space="preserve"> НЕРВ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47C99">
        <w:rPr>
          <w:rFonts w:ascii="Times New Roman" w:hAnsi="Times New Roman" w:cs="Times New Roman"/>
          <w:sz w:val="24"/>
          <w:szCs w:val="24"/>
        </w:rPr>
        <w:t xml:space="preserve"> КОСТЕ</w:t>
      </w:r>
      <w:r w:rsidR="00DD44F1">
        <w:rPr>
          <w:rFonts w:ascii="Times New Roman" w:hAnsi="Times New Roman" w:cs="Times New Roman"/>
          <w:sz w:val="24"/>
          <w:szCs w:val="24"/>
        </w:rPr>
        <w:t>Й</w:t>
      </w:r>
      <w:r w:rsidRPr="00447C99">
        <w:rPr>
          <w:rFonts w:ascii="Times New Roman" w:hAnsi="Times New Roman" w:cs="Times New Roman"/>
          <w:sz w:val="24"/>
          <w:szCs w:val="24"/>
        </w:rPr>
        <w:t xml:space="preserve">. Внутрь кости нервы проникают от ветвей нервов надкостницы, </w:t>
      </w:r>
      <w:proofErr w:type="gramStart"/>
      <w:r w:rsidRPr="00447C99">
        <w:rPr>
          <w:rFonts w:ascii="Times New Roman" w:hAnsi="Times New Roman" w:cs="Times New Roman"/>
          <w:sz w:val="24"/>
          <w:szCs w:val="24"/>
        </w:rPr>
        <w:t>кото-рая</w:t>
      </w:r>
      <w:proofErr w:type="gramEnd"/>
      <w:r w:rsidRPr="00447C99">
        <w:rPr>
          <w:rFonts w:ascii="Times New Roman" w:hAnsi="Times New Roman" w:cs="Times New Roman"/>
          <w:sz w:val="24"/>
          <w:szCs w:val="24"/>
        </w:rPr>
        <w:t xml:space="preserve"> богато снабжается чувствительными нервными окончаниями и симпатическими нервны-ми волокнами.</w:t>
      </w:r>
      <w:bookmarkEnd w:id="0"/>
    </w:p>
    <w:sectPr w:rsidR="00447C99" w:rsidRPr="0044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5DA"/>
    <w:rsid w:val="001F7FC2"/>
    <w:rsid w:val="00447C99"/>
    <w:rsid w:val="006B75DA"/>
    <w:rsid w:val="00C03A29"/>
    <w:rsid w:val="00DD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7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2364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2020-10-13T11:55:00Z</dcterms:created>
  <dcterms:modified xsi:type="dcterms:W3CDTF">2020-10-13T11:55:00Z</dcterms:modified>
</cp:coreProperties>
</file>