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59F4" w:rsidRPr="00FF6B64" w:rsidRDefault="00FF6B64" w:rsidP="00FF6B64">
      <w:pPr>
        <w:spacing w:line="276" w:lineRule="auto"/>
        <w:jc w:val="center"/>
        <w:rPr>
          <w:b/>
          <w:sz w:val="28"/>
          <w:szCs w:val="28"/>
        </w:rPr>
      </w:pPr>
      <w:r w:rsidRPr="00FF6B64">
        <w:rPr>
          <w:b/>
          <w:sz w:val="28"/>
          <w:szCs w:val="28"/>
        </w:rPr>
        <w:t>Тема:</w:t>
      </w:r>
      <w:r w:rsidR="008D59F4" w:rsidRPr="00FF6B64">
        <w:rPr>
          <w:b/>
          <w:sz w:val="28"/>
          <w:szCs w:val="28"/>
        </w:rPr>
        <w:t xml:space="preserve"> </w:t>
      </w:r>
      <w:r w:rsidRPr="00FF6B64">
        <w:rPr>
          <w:b/>
          <w:sz w:val="28"/>
          <w:szCs w:val="28"/>
        </w:rPr>
        <w:t>КОНСОЛИДИРОВАННАЯ</w:t>
      </w:r>
      <w:r w:rsidR="008D59F4" w:rsidRPr="00FF6B64">
        <w:rPr>
          <w:b/>
          <w:sz w:val="28"/>
          <w:szCs w:val="28"/>
        </w:rPr>
        <w:t xml:space="preserve"> БУХГАЛТЕРСК</w:t>
      </w:r>
      <w:r w:rsidRPr="00FF6B64">
        <w:rPr>
          <w:b/>
          <w:sz w:val="28"/>
          <w:szCs w:val="28"/>
        </w:rPr>
        <w:t>АЯ ОТЧЕТНОСТЬ</w:t>
      </w:r>
    </w:p>
    <w:p w:rsidR="008D59F4" w:rsidRPr="00FF6B64" w:rsidRDefault="008D59F4" w:rsidP="00FF6B64">
      <w:pPr>
        <w:spacing w:line="276" w:lineRule="auto"/>
        <w:rPr>
          <w:sz w:val="28"/>
          <w:szCs w:val="28"/>
        </w:rPr>
      </w:pPr>
    </w:p>
    <w:p w:rsidR="00FF6B64" w:rsidRPr="00FF6B64" w:rsidRDefault="00FF6B64" w:rsidP="00FF6B64">
      <w:pPr>
        <w:spacing w:line="276" w:lineRule="auto"/>
        <w:ind w:firstLine="709"/>
        <w:rPr>
          <w:i/>
          <w:sz w:val="28"/>
          <w:szCs w:val="28"/>
          <w:u w:val="single"/>
        </w:rPr>
      </w:pPr>
      <w:r w:rsidRPr="00FF6B64">
        <w:rPr>
          <w:i/>
          <w:sz w:val="28"/>
          <w:szCs w:val="28"/>
          <w:u w:val="single"/>
        </w:rPr>
        <w:t>Вопросы:</w:t>
      </w:r>
    </w:p>
    <w:p w:rsidR="00FF6B64" w:rsidRPr="00FF6B64" w:rsidRDefault="00FF6B64" w:rsidP="00FF6B64">
      <w:pPr>
        <w:spacing w:line="276" w:lineRule="auto"/>
        <w:ind w:firstLine="709"/>
        <w:jc w:val="both"/>
        <w:rPr>
          <w:iCs/>
          <w:color w:val="000000"/>
          <w:spacing w:val="-1"/>
          <w:sz w:val="28"/>
          <w:szCs w:val="28"/>
        </w:rPr>
      </w:pPr>
      <w:r w:rsidRPr="00FF6B64">
        <w:rPr>
          <w:sz w:val="28"/>
          <w:szCs w:val="28"/>
        </w:rPr>
        <w:t>1 Определение и область применения консолидированной отчетности</w:t>
      </w:r>
      <w:r>
        <w:rPr>
          <w:sz w:val="28"/>
          <w:szCs w:val="28"/>
        </w:rPr>
        <w:t>.</w:t>
      </w:r>
    </w:p>
    <w:p w:rsidR="00FF6B64" w:rsidRPr="00FF6B64" w:rsidRDefault="00FF6B64" w:rsidP="00FF6B64">
      <w:pPr>
        <w:spacing w:line="276" w:lineRule="auto"/>
        <w:ind w:firstLine="709"/>
        <w:jc w:val="both"/>
        <w:rPr>
          <w:iCs/>
          <w:color w:val="000000"/>
          <w:spacing w:val="-1"/>
          <w:sz w:val="28"/>
          <w:szCs w:val="28"/>
        </w:rPr>
      </w:pPr>
      <w:r w:rsidRPr="00FF6B64">
        <w:rPr>
          <w:iCs/>
          <w:color w:val="000000"/>
          <w:spacing w:val="-1"/>
          <w:sz w:val="28"/>
          <w:szCs w:val="28"/>
        </w:rPr>
        <w:t>2 Материнская, дочерняя и ассоциированная компании. Оценка инвестиций в ассоциированные компании</w:t>
      </w:r>
      <w:r>
        <w:rPr>
          <w:iCs/>
          <w:color w:val="000000"/>
          <w:spacing w:val="-1"/>
          <w:sz w:val="28"/>
          <w:szCs w:val="28"/>
        </w:rPr>
        <w:t xml:space="preserve"> </w:t>
      </w:r>
      <w:r w:rsidRPr="00FF6B64">
        <w:rPr>
          <w:iCs/>
          <w:color w:val="000000"/>
          <w:spacing w:val="-1"/>
          <w:sz w:val="28"/>
          <w:szCs w:val="28"/>
        </w:rPr>
        <w:t>в консолидированной отчетности</w:t>
      </w:r>
      <w:r>
        <w:rPr>
          <w:iCs/>
          <w:color w:val="000000"/>
          <w:spacing w:val="-1"/>
          <w:sz w:val="28"/>
          <w:szCs w:val="28"/>
        </w:rPr>
        <w:t>.</w:t>
      </w:r>
    </w:p>
    <w:p w:rsidR="00FF6B64" w:rsidRPr="00FF6B64" w:rsidRDefault="00FF6B64" w:rsidP="00FF6B64">
      <w:pPr>
        <w:pStyle w:val="a3"/>
        <w:numPr>
          <w:ilvl w:val="0"/>
          <w:numId w:val="14"/>
        </w:numPr>
        <w:spacing w:line="276" w:lineRule="auto"/>
        <w:ind w:left="0" w:firstLine="709"/>
        <w:jc w:val="both"/>
        <w:rPr>
          <w:iCs/>
          <w:color w:val="000000"/>
          <w:spacing w:val="-1"/>
          <w:sz w:val="28"/>
          <w:szCs w:val="28"/>
        </w:rPr>
      </w:pPr>
      <w:r w:rsidRPr="00FF6B64">
        <w:rPr>
          <w:iCs/>
          <w:color w:val="000000"/>
          <w:spacing w:val="-1"/>
          <w:sz w:val="28"/>
          <w:szCs w:val="28"/>
        </w:rPr>
        <w:t>Первичная консолидация баланса и отчета о финансовых результатах (метод покупки и метод слияния)</w:t>
      </w:r>
      <w:r>
        <w:rPr>
          <w:iCs/>
          <w:color w:val="000000"/>
          <w:spacing w:val="-1"/>
          <w:sz w:val="28"/>
          <w:szCs w:val="28"/>
        </w:rPr>
        <w:t>.</w:t>
      </w:r>
    </w:p>
    <w:p w:rsidR="00FF6B64" w:rsidRPr="00FF6B64" w:rsidRDefault="00FF6B64" w:rsidP="00FF6B64">
      <w:pPr>
        <w:spacing w:line="276" w:lineRule="auto"/>
        <w:ind w:firstLine="709"/>
        <w:jc w:val="both"/>
        <w:rPr>
          <w:iCs/>
          <w:color w:val="000000"/>
          <w:spacing w:val="-1"/>
          <w:sz w:val="28"/>
          <w:szCs w:val="28"/>
        </w:rPr>
      </w:pPr>
      <w:r w:rsidRPr="00FF6B64">
        <w:rPr>
          <w:iCs/>
          <w:color w:val="000000"/>
          <w:spacing w:val="-1"/>
          <w:sz w:val="28"/>
          <w:szCs w:val="28"/>
        </w:rPr>
        <w:t>4 Консолидация показателей деятельности компаний группы в последующие периоды</w:t>
      </w:r>
      <w:r>
        <w:rPr>
          <w:iCs/>
          <w:color w:val="000000"/>
          <w:spacing w:val="-1"/>
          <w:sz w:val="28"/>
          <w:szCs w:val="28"/>
        </w:rPr>
        <w:t>.</w:t>
      </w:r>
    </w:p>
    <w:p w:rsidR="00FF6B64" w:rsidRPr="00FF6B64" w:rsidRDefault="00FF6B64" w:rsidP="00FF6B64">
      <w:pPr>
        <w:pStyle w:val="a4"/>
        <w:spacing w:before="0" w:beforeAutospacing="0" w:after="0" w:afterAutospacing="0" w:line="276" w:lineRule="auto"/>
        <w:ind w:firstLine="709"/>
        <w:jc w:val="both"/>
        <w:rPr>
          <w:iCs/>
          <w:color w:val="000000"/>
          <w:spacing w:val="-1"/>
          <w:sz w:val="28"/>
          <w:szCs w:val="28"/>
        </w:rPr>
      </w:pPr>
      <w:r w:rsidRPr="00FF6B64">
        <w:rPr>
          <w:iCs/>
          <w:color w:val="000000"/>
          <w:spacing w:val="-1"/>
          <w:sz w:val="28"/>
          <w:szCs w:val="28"/>
        </w:rPr>
        <w:t>5 Понятие доли меньшинства и ее представление</w:t>
      </w:r>
      <w:r>
        <w:rPr>
          <w:iCs/>
          <w:color w:val="000000"/>
          <w:spacing w:val="-1"/>
          <w:sz w:val="28"/>
          <w:szCs w:val="28"/>
        </w:rPr>
        <w:t xml:space="preserve"> </w:t>
      </w:r>
      <w:r w:rsidRPr="00FF6B64">
        <w:rPr>
          <w:iCs/>
          <w:color w:val="000000"/>
          <w:spacing w:val="-1"/>
          <w:sz w:val="28"/>
          <w:szCs w:val="28"/>
        </w:rPr>
        <w:t>в консолидированной отчетности</w:t>
      </w:r>
      <w:r>
        <w:rPr>
          <w:iCs/>
          <w:color w:val="000000"/>
          <w:spacing w:val="-1"/>
          <w:sz w:val="28"/>
          <w:szCs w:val="28"/>
        </w:rPr>
        <w:t>.</w:t>
      </w:r>
    </w:p>
    <w:p w:rsidR="00FF6B64" w:rsidRPr="00FF6B64" w:rsidRDefault="00FF6B64" w:rsidP="00FF6B64">
      <w:pPr>
        <w:spacing w:line="276" w:lineRule="auto"/>
        <w:rPr>
          <w:sz w:val="28"/>
          <w:szCs w:val="28"/>
        </w:rPr>
      </w:pPr>
    </w:p>
    <w:p w:rsidR="008D59F4" w:rsidRPr="00FF6B64" w:rsidRDefault="008D59F4" w:rsidP="00FF6B64">
      <w:pPr>
        <w:spacing w:line="276" w:lineRule="auto"/>
        <w:ind w:firstLine="709"/>
        <w:jc w:val="both"/>
        <w:rPr>
          <w:b/>
          <w:iCs/>
          <w:color w:val="000000"/>
          <w:spacing w:val="-1"/>
          <w:sz w:val="28"/>
          <w:szCs w:val="28"/>
        </w:rPr>
      </w:pPr>
      <w:r w:rsidRPr="00FF6B64">
        <w:rPr>
          <w:b/>
          <w:sz w:val="28"/>
          <w:szCs w:val="28"/>
        </w:rPr>
        <w:t>1 Определение и область применения консолидированной отчетности</w:t>
      </w:r>
    </w:p>
    <w:p w:rsidR="008D59F4" w:rsidRPr="00FF6B64" w:rsidRDefault="008D59F4" w:rsidP="00FF6B64">
      <w:pPr>
        <w:shd w:val="clear" w:color="auto" w:fill="FFFFFF"/>
        <w:spacing w:line="276" w:lineRule="auto"/>
        <w:ind w:firstLine="709"/>
        <w:jc w:val="both"/>
        <w:rPr>
          <w:sz w:val="28"/>
          <w:szCs w:val="28"/>
          <w:shd w:val="clear" w:color="auto" w:fill="FFFFFF"/>
        </w:rPr>
      </w:pPr>
    </w:p>
    <w:p w:rsidR="008D59F4" w:rsidRPr="00FF6B64" w:rsidRDefault="008D59F4" w:rsidP="00FF6B64">
      <w:pPr>
        <w:pStyle w:val="a5"/>
        <w:spacing w:line="276" w:lineRule="auto"/>
        <w:rPr>
          <w:sz w:val="28"/>
          <w:szCs w:val="28"/>
        </w:rPr>
      </w:pPr>
      <w:r w:rsidRPr="00FF6B64">
        <w:rPr>
          <w:bCs/>
          <w:i/>
          <w:sz w:val="28"/>
          <w:szCs w:val="28"/>
        </w:rPr>
        <w:t>Консолидированная финансовая отчетность</w:t>
      </w:r>
      <w:r w:rsidRPr="00FF6B64">
        <w:rPr>
          <w:sz w:val="28"/>
          <w:szCs w:val="28"/>
        </w:rPr>
        <w:t xml:space="preserve"> – составляется материнской компанией по всей совокупности консолидируемых компаний (предприятий). Отражает имущественное финансовое положение и результаты хозяйственной деятельности всех компаний, входящих в сферу консолидации, как единого экономического целого. Консолидированная финансовая отчетность необходима всем, имеющим интересы или предполагающим их иметь в данной группе компаний: инвесторам, кредиторам, поставщикам и заказчикам, персоналу и профсоюзам, банкам и иным финансовым организациям, правительственным органам и местным властям.  </w:t>
      </w:r>
    </w:p>
    <w:p w:rsidR="008D59F4" w:rsidRPr="00FF6B64" w:rsidRDefault="008D59F4" w:rsidP="00FF6B64">
      <w:pPr>
        <w:pStyle w:val="a5"/>
        <w:spacing w:line="276" w:lineRule="auto"/>
        <w:rPr>
          <w:sz w:val="28"/>
          <w:szCs w:val="28"/>
        </w:rPr>
      </w:pPr>
      <w:r w:rsidRPr="00FF6B64">
        <w:rPr>
          <w:sz w:val="28"/>
          <w:szCs w:val="28"/>
        </w:rPr>
        <w:t xml:space="preserve">Консолидированная финансовая отчетность позволяет применять групповой доход от экономического объединения компаний в качестве базы для расчетов дивидендов по акциям, входящим в данную сферу консолидации. В консолидированной отчетности отражаются интересы меньшинства инвесторов, то есть тех владельцев акций, которые имеют менее половины голосов на собраниях акционеров. </w:t>
      </w:r>
    </w:p>
    <w:p w:rsidR="008D59F4" w:rsidRPr="00FF6B64" w:rsidRDefault="008D59F4" w:rsidP="00FF6B64">
      <w:pPr>
        <w:pStyle w:val="a5"/>
        <w:spacing w:line="276" w:lineRule="auto"/>
        <w:rPr>
          <w:sz w:val="28"/>
          <w:szCs w:val="28"/>
        </w:rPr>
      </w:pPr>
      <w:r w:rsidRPr="00FF6B64">
        <w:rPr>
          <w:sz w:val="28"/>
          <w:szCs w:val="28"/>
        </w:rPr>
        <w:t xml:space="preserve">Консолидированная отчетность создает возможность применять совокупный групповой доход и прибыль в качестве  базы для налогообложения в тех странах, в которых это разрешается налоговым законодательством. </w:t>
      </w:r>
    </w:p>
    <w:p w:rsidR="008D59F4" w:rsidRPr="00FF6B64" w:rsidRDefault="008D59F4" w:rsidP="00FF6B64">
      <w:pPr>
        <w:shd w:val="clear" w:color="auto" w:fill="FFFFFF"/>
        <w:spacing w:line="276" w:lineRule="auto"/>
        <w:ind w:firstLine="709"/>
        <w:jc w:val="both"/>
        <w:rPr>
          <w:sz w:val="28"/>
          <w:szCs w:val="28"/>
          <w:shd w:val="clear" w:color="auto" w:fill="FFFFFF"/>
        </w:rPr>
      </w:pPr>
      <w:r w:rsidRPr="00FF6B64">
        <w:rPr>
          <w:sz w:val="28"/>
          <w:szCs w:val="28"/>
          <w:shd w:val="clear" w:color="auto" w:fill="FFFFFF"/>
        </w:rPr>
        <w:t xml:space="preserve">Требования к порядку составления, представления и публикации консолидированной финансовой отчетности (КФО) в Российской Федерации определены Федеральным законом от 27.07.2010  № 208 – ФЗ «О консолидированной финансовой отчетности». Действие Закона распространяется на кредитные, страховые, а также иные организации, ценные </w:t>
      </w:r>
      <w:r w:rsidRPr="00FF6B64">
        <w:rPr>
          <w:sz w:val="28"/>
          <w:szCs w:val="28"/>
          <w:shd w:val="clear" w:color="auto" w:fill="FFFFFF"/>
        </w:rPr>
        <w:lastRenderedPageBreak/>
        <w:t>бумаги которых допущены к обращению на торгах фондовых бирж и (или) иных организаторов торговли на рынке ценных бумаг.</w:t>
      </w:r>
    </w:p>
    <w:p w:rsidR="008D59F4" w:rsidRPr="00FF6B64" w:rsidRDefault="008D59F4" w:rsidP="00FF6B64">
      <w:pPr>
        <w:shd w:val="clear" w:color="auto" w:fill="FFFFFF"/>
        <w:spacing w:line="276" w:lineRule="auto"/>
        <w:ind w:firstLine="709"/>
        <w:jc w:val="both"/>
        <w:rPr>
          <w:sz w:val="28"/>
          <w:szCs w:val="28"/>
          <w:shd w:val="clear" w:color="auto" w:fill="FFFFFF"/>
        </w:rPr>
      </w:pPr>
      <w:r w:rsidRPr="00FF6B64">
        <w:rPr>
          <w:sz w:val="28"/>
          <w:szCs w:val="28"/>
          <w:shd w:val="clear" w:color="auto" w:fill="FFFFFF"/>
        </w:rPr>
        <w:t xml:space="preserve">Консолидированная финансовая отчетность должна составляться в соответствии с МСФО. Порядок представления и публикации указанной отчетности кредитными организациями определяются Центральным банком РФ; организациями, выполняющими государственный оборонный заказ, - Правительством РФ. </w:t>
      </w:r>
    </w:p>
    <w:p w:rsidR="008D59F4" w:rsidRPr="00FF6B64" w:rsidRDefault="008D59F4" w:rsidP="00FF6B64">
      <w:pPr>
        <w:shd w:val="clear" w:color="auto" w:fill="FFFFFF"/>
        <w:spacing w:line="276" w:lineRule="auto"/>
        <w:ind w:firstLine="709"/>
        <w:jc w:val="both"/>
        <w:rPr>
          <w:sz w:val="28"/>
          <w:szCs w:val="28"/>
          <w:shd w:val="clear" w:color="auto" w:fill="FFFFFF"/>
        </w:rPr>
      </w:pPr>
      <w:r w:rsidRPr="00FF6B64">
        <w:rPr>
          <w:sz w:val="28"/>
          <w:szCs w:val="28"/>
          <w:shd w:val="clear" w:color="auto" w:fill="FFFFFF"/>
        </w:rPr>
        <w:t xml:space="preserve">Отчетность представляется участникам организации, в том числе акционерам, а также в уполномоченный федеральный орган исполнительной власти (за исключением кредитных организаций, которые представляют отчетность также в ЦБ РФ). </w:t>
      </w:r>
    </w:p>
    <w:p w:rsidR="008D59F4" w:rsidRPr="00FF6B64" w:rsidRDefault="008D59F4" w:rsidP="00FF6B64">
      <w:pPr>
        <w:shd w:val="clear" w:color="auto" w:fill="FFFFFF"/>
        <w:spacing w:line="276" w:lineRule="auto"/>
        <w:ind w:firstLine="709"/>
        <w:jc w:val="both"/>
        <w:rPr>
          <w:sz w:val="28"/>
          <w:szCs w:val="28"/>
          <w:shd w:val="clear" w:color="auto" w:fill="FFFFFF"/>
        </w:rPr>
      </w:pPr>
      <w:r w:rsidRPr="00FF6B64">
        <w:rPr>
          <w:sz w:val="28"/>
          <w:szCs w:val="28"/>
          <w:shd w:val="clear" w:color="auto" w:fill="FFFFFF"/>
        </w:rPr>
        <w:t xml:space="preserve">Годовая КФО подлежит обязательному аудиту. Аудиторское заключение и годовая КФО должны публиковаться в информационных системах общего пользования и (или) СМИ. </w:t>
      </w:r>
    </w:p>
    <w:p w:rsidR="008D59F4" w:rsidRPr="00FF6B64" w:rsidRDefault="008D59F4" w:rsidP="00FF6B64">
      <w:pPr>
        <w:spacing w:line="276" w:lineRule="auto"/>
        <w:ind w:firstLine="851"/>
        <w:jc w:val="both"/>
        <w:rPr>
          <w:sz w:val="28"/>
          <w:szCs w:val="28"/>
        </w:rPr>
      </w:pPr>
      <w:r w:rsidRPr="00FF6B64">
        <w:rPr>
          <w:sz w:val="28"/>
          <w:szCs w:val="28"/>
        </w:rPr>
        <w:t>Годовая консолидированная финансовая отчетность представляется в срок не позднее 120 дней после окончания года, за который составлена данная отчетность. Промежуточная консолидированная финансовая отчетность представляется в срок не позднее 60 дней после окончания отчетного периода, за который составлена данная отчетность.</w:t>
      </w:r>
    </w:p>
    <w:p w:rsidR="008D59F4" w:rsidRPr="00FF6B64" w:rsidRDefault="008D59F4" w:rsidP="00FF6B64">
      <w:pPr>
        <w:spacing w:line="276" w:lineRule="auto"/>
        <w:ind w:firstLine="851"/>
        <w:jc w:val="both"/>
        <w:rPr>
          <w:sz w:val="28"/>
          <w:szCs w:val="28"/>
        </w:rPr>
      </w:pPr>
      <w:r w:rsidRPr="00FF6B64">
        <w:rPr>
          <w:sz w:val="28"/>
          <w:szCs w:val="28"/>
        </w:rPr>
        <w:t xml:space="preserve">Консолидированная финансовая отчетность подписывается руководителем организации и (или) иными лицами, уполномоченными на это учредительными документами организации. </w:t>
      </w:r>
    </w:p>
    <w:p w:rsidR="008D59F4" w:rsidRPr="00FF6B64" w:rsidRDefault="008D59F4" w:rsidP="00FF6B64">
      <w:pPr>
        <w:spacing w:line="276" w:lineRule="auto"/>
        <w:ind w:firstLine="851"/>
        <w:jc w:val="both"/>
        <w:rPr>
          <w:sz w:val="28"/>
          <w:szCs w:val="28"/>
        </w:rPr>
      </w:pPr>
      <w:r w:rsidRPr="00FF6B64">
        <w:rPr>
          <w:sz w:val="28"/>
          <w:szCs w:val="28"/>
        </w:rPr>
        <w:t>Организация раскрывает годовую консолидированную финансовую отчетность. Организации,</w:t>
      </w:r>
    </w:p>
    <w:p w:rsidR="008D59F4" w:rsidRPr="00FF6B64" w:rsidRDefault="008D59F4" w:rsidP="00FF6B64">
      <w:pPr>
        <w:spacing w:line="276" w:lineRule="auto"/>
        <w:ind w:firstLine="851"/>
        <w:jc w:val="both"/>
        <w:rPr>
          <w:sz w:val="28"/>
          <w:szCs w:val="28"/>
        </w:rPr>
      </w:pPr>
      <w:r w:rsidRPr="00FF6B64">
        <w:rPr>
          <w:sz w:val="28"/>
          <w:szCs w:val="28"/>
        </w:rPr>
        <w:t>Консолидированная финансовая отчетность считается раскрытой, если она размещена в информационных системах общего пользования или опубликована в средствах массовой информации, доступных для заинтересованных в ней лиц, и (или) в отношении указанной отчетности проведены иные действия, обеспечивающие ее доступность для всех заинтересованных в ней лиц независимо от целей получения данной отчетности по процедуре, гарантирующей ее нахождение и получение.</w:t>
      </w:r>
    </w:p>
    <w:p w:rsidR="008D59F4" w:rsidRPr="00FF6B64" w:rsidRDefault="008D59F4" w:rsidP="00FF6B64">
      <w:pPr>
        <w:spacing w:line="276" w:lineRule="auto"/>
        <w:ind w:firstLine="851"/>
        <w:jc w:val="both"/>
        <w:rPr>
          <w:sz w:val="28"/>
          <w:szCs w:val="28"/>
        </w:rPr>
      </w:pPr>
      <w:r w:rsidRPr="00FF6B64">
        <w:rPr>
          <w:sz w:val="28"/>
          <w:szCs w:val="28"/>
        </w:rPr>
        <w:t>Раскрытие консолидированной финансовой отчетности осуществляется организацией не позднее 30 дней со дня истечения срока для ее представления.</w:t>
      </w:r>
    </w:p>
    <w:p w:rsidR="008D59F4" w:rsidRPr="00FF6B64" w:rsidRDefault="008D59F4" w:rsidP="00FF6B64">
      <w:pPr>
        <w:pStyle w:val="a3"/>
        <w:shd w:val="clear" w:color="auto" w:fill="FFFFFF"/>
        <w:spacing w:after="165" w:line="276" w:lineRule="auto"/>
        <w:ind w:left="1069"/>
        <w:jc w:val="center"/>
        <w:rPr>
          <w:i/>
          <w:color w:val="000000"/>
          <w:sz w:val="28"/>
          <w:szCs w:val="28"/>
        </w:rPr>
      </w:pPr>
      <w:r w:rsidRPr="00FF6B64">
        <w:rPr>
          <w:i/>
          <w:color w:val="000000"/>
          <w:sz w:val="28"/>
          <w:szCs w:val="28"/>
        </w:rPr>
        <w:t>Необходимость составления консолидированной финансовой отчетности</w:t>
      </w:r>
    </w:p>
    <w:p w:rsidR="008D59F4" w:rsidRPr="00FF6B64" w:rsidRDefault="008D59F4" w:rsidP="00FF6B64">
      <w:pPr>
        <w:shd w:val="clear" w:color="auto" w:fill="FFFFFF"/>
        <w:spacing w:line="276" w:lineRule="auto"/>
        <w:ind w:firstLine="709"/>
        <w:jc w:val="both"/>
        <w:rPr>
          <w:sz w:val="28"/>
          <w:szCs w:val="28"/>
        </w:rPr>
      </w:pPr>
      <w:r w:rsidRPr="00FF6B64">
        <w:rPr>
          <w:iCs/>
          <w:sz w:val="28"/>
          <w:szCs w:val="28"/>
        </w:rPr>
        <w:t xml:space="preserve">Многие крупные компании представляют собой холдинги, состоящие из большого количества отдельных юридических лиц. Это предполагает подготовку консолидированной отчетности, то есть составление финансовой отчетности группы как единой компании. Основными пользователями сводной </w:t>
      </w:r>
      <w:r w:rsidRPr="00FF6B64">
        <w:rPr>
          <w:iCs/>
          <w:sz w:val="28"/>
          <w:szCs w:val="28"/>
        </w:rPr>
        <w:lastRenderedPageBreak/>
        <w:t>отчетности являются владельцы и инвесторы. Именно эта отчетность может объективно и правдиво показать, что представляют собой их инвестиции.</w:t>
      </w:r>
    </w:p>
    <w:p w:rsidR="008D59F4" w:rsidRPr="00FF6B64" w:rsidRDefault="008D59F4" w:rsidP="00FF6B64">
      <w:pPr>
        <w:shd w:val="clear" w:color="auto" w:fill="FFFFFF"/>
        <w:spacing w:line="276" w:lineRule="auto"/>
        <w:ind w:firstLine="709"/>
        <w:jc w:val="both"/>
        <w:rPr>
          <w:sz w:val="28"/>
          <w:szCs w:val="28"/>
        </w:rPr>
      </w:pPr>
      <w:r w:rsidRPr="00FF6B64">
        <w:rPr>
          <w:sz w:val="28"/>
          <w:szCs w:val="28"/>
        </w:rPr>
        <w:t xml:space="preserve">Составление консолидированной отчетности в соответствии с международными стандартами регламентируется МСФО/IAS 27 «Консолидированная и отдельная финансовая отчетность» и IFRS 3 «Объединение предприятий». </w:t>
      </w:r>
    </w:p>
    <w:p w:rsidR="008D59F4" w:rsidRPr="00FF6B64" w:rsidRDefault="008D59F4" w:rsidP="00FF6B64">
      <w:pPr>
        <w:shd w:val="clear" w:color="auto" w:fill="FFFFFF"/>
        <w:spacing w:line="276" w:lineRule="auto"/>
        <w:ind w:firstLine="709"/>
        <w:jc w:val="both"/>
        <w:rPr>
          <w:color w:val="000000"/>
          <w:sz w:val="28"/>
          <w:szCs w:val="28"/>
        </w:rPr>
      </w:pPr>
      <w:r w:rsidRPr="00FF6B64">
        <w:rPr>
          <w:bCs/>
          <w:i/>
          <w:color w:val="000000"/>
          <w:sz w:val="28"/>
          <w:szCs w:val="28"/>
        </w:rPr>
        <w:t>Консолидация финансовых отчетов</w:t>
      </w:r>
      <w:r w:rsidRPr="00FF6B64">
        <w:rPr>
          <w:color w:val="000000"/>
          <w:sz w:val="28"/>
          <w:szCs w:val="28"/>
        </w:rPr>
        <w:t> – это процесс объединения и синхронизации показателей финансовых отчетов группы организаций в целях представления этой группы в едином пакете отчетности материнского (холдингового) предприятия.</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Группа создается в момент </w:t>
      </w:r>
      <w:r w:rsidRPr="00FF6B64">
        <w:rPr>
          <w:i/>
          <w:iCs/>
          <w:color w:val="000000"/>
          <w:sz w:val="28"/>
          <w:szCs w:val="28"/>
        </w:rPr>
        <w:t>консолидации предприятий</w:t>
      </w:r>
      <w:r w:rsidRPr="00FF6B64">
        <w:rPr>
          <w:color w:val="000000"/>
          <w:sz w:val="28"/>
          <w:szCs w:val="28"/>
        </w:rPr>
        <w:t>, иначе говоря, когда одно предприятие приобретает долю в капитале другого предприятия, величины достаточной, чтобы выступать по отношению к нему контрольным участником – материнским предприятием или когда объединяются несколько предприятий в холдинг.</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Приобретение доли в капитале может осуществляться как путем создания дочернего предприятия, так и покупки контрольного пакета акций у третьего лица. Наименьшая группа состоит из двух предприятий. Верхнего предела, ограничивающего число предприятий, образующих группу, нет.</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Если предприятие-покупатель приобретает другое предприятие целиком как имущественный комплекс, но при этом не происходит поглощения второго первым (т. е. приобретенное предприятие не утрачивает статус обособленного юридического лица), то такое объединение также называется консолидацией, следовательно, также влечет за собой обязательность составления консолидированной отчетности. Нередко предприятия консолидируются с той целью, чтобы собственники соединяющихся предприятий стали собственниками этих предприятий как единого хозяйственного комплекса – холдинга, т. е. также без утраты каждым из объединяющихся предприятий статуса юридических лиц. При этом каждый участник в обмен на свои старые акции получает новые акции в холдинговом предприятии пропорционально своей доле.</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В иностранной литературе выделяются следующие типы объединения (консолидации) предприятий:</w:t>
      </w:r>
    </w:p>
    <w:p w:rsidR="008D59F4" w:rsidRPr="00FF6B64" w:rsidRDefault="008D59F4" w:rsidP="00FF6B64">
      <w:pPr>
        <w:shd w:val="clear" w:color="auto" w:fill="FFFFFF"/>
        <w:spacing w:line="276" w:lineRule="auto"/>
        <w:ind w:firstLine="709"/>
        <w:jc w:val="both"/>
        <w:rPr>
          <w:color w:val="000000"/>
          <w:sz w:val="28"/>
          <w:szCs w:val="28"/>
        </w:rPr>
      </w:pPr>
      <w:r w:rsidRPr="00FF6B64">
        <w:rPr>
          <w:bCs/>
          <w:i/>
          <w:color w:val="000000"/>
          <w:sz w:val="28"/>
          <w:szCs w:val="28"/>
        </w:rPr>
        <w:t>- горизонтальное</w:t>
      </w:r>
      <w:r w:rsidRPr="00FF6B64">
        <w:rPr>
          <w:color w:val="000000"/>
          <w:sz w:val="28"/>
          <w:szCs w:val="28"/>
        </w:rPr>
        <w:t> – объединение предприятий одной отрасли;</w:t>
      </w:r>
    </w:p>
    <w:p w:rsidR="008D59F4" w:rsidRPr="00FF6B64" w:rsidRDefault="008D59F4" w:rsidP="00FF6B64">
      <w:pPr>
        <w:shd w:val="clear" w:color="auto" w:fill="FFFFFF"/>
        <w:spacing w:line="276" w:lineRule="auto"/>
        <w:ind w:firstLine="709"/>
        <w:jc w:val="both"/>
        <w:rPr>
          <w:color w:val="000000"/>
          <w:sz w:val="28"/>
          <w:szCs w:val="28"/>
        </w:rPr>
      </w:pPr>
      <w:r w:rsidRPr="00FF6B64">
        <w:rPr>
          <w:bCs/>
          <w:i/>
          <w:color w:val="000000"/>
          <w:sz w:val="28"/>
          <w:szCs w:val="28"/>
        </w:rPr>
        <w:t>- вертикальное</w:t>
      </w:r>
      <w:r w:rsidRPr="00FF6B64">
        <w:rPr>
          <w:color w:val="000000"/>
          <w:sz w:val="28"/>
          <w:szCs w:val="28"/>
        </w:rPr>
        <w:t> – объединение предприятий одной отрасли, но действующих в различных стадиях производственного цикла;</w:t>
      </w:r>
    </w:p>
    <w:p w:rsidR="008D59F4" w:rsidRPr="00FF6B64" w:rsidRDefault="008D59F4" w:rsidP="00FF6B64">
      <w:pPr>
        <w:shd w:val="clear" w:color="auto" w:fill="FFFFFF"/>
        <w:spacing w:line="276" w:lineRule="auto"/>
        <w:ind w:firstLine="709"/>
        <w:jc w:val="both"/>
        <w:rPr>
          <w:color w:val="000000"/>
          <w:sz w:val="28"/>
          <w:szCs w:val="28"/>
        </w:rPr>
      </w:pPr>
      <w:r w:rsidRPr="00FF6B64">
        <w:rPr>
          <w:bCs/>
          <w:i/>
          <w:color w:val="000000"/>
          <w:sz w:val="28"/>
          <w:szCs w:val="28"/>
        </w:rPr>
        <w:t>- конгломерация</w:t>
      </w:r>
      <w:r w:rsidRPr="00FF6B64">
        <w:rPr>
          <w:color w:val="000000"/>
          <w:sz w:val="28"/>
          <w:szCs w:val="28"/>
        </w:rPr>
        <w:t> – объединение предприятий различных отраслей.</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 xml:space="preserve">Через выделенные типы четко просматривается цель объединения (консолидации): экономия от масштабов производства (горизонтальная </w:t>
      </w:r>
      <w:r w:rsidRPr="00FF6B64">
        <w:rPr>
          <w:color w:val="000000"/>
          <w:sz w:val="28"/>
          <w:szCs w:val="28"/>
        </w:rPr>
        <w:lastRenderedPageBreak/>
        <w:t>консолидация), контроль качества продукции (вертикальная консолидация), совместный контроль над рынками сбыта (конгломерация) и т. д.,</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В каждом из трех случаев консолидация возможна как по принципу «дочки-матери», так и на условиях создания холдинга.</w:t>
      </w:r>
    </w:p>
    <w:p w:rsidR="008D59F4" w:rsidRPr="00FF6B64" w:rsidRDefault="008D59F4" w:rsidP="00FF6B64">
      <w:pPr>
        <w:shd w:val="clear" w:color="auto" w:fill="FFFFFF"/>
        <w:spacing w:line="276" w:lineRule="auto"/>
        <w:ind w:firstLine="709"/>
        <w:jc w:val="both"/>
        <w:rPr>
          <w:color w:val="000000"/>
          <w:sz w:val="28"/>
          <w:szCs w:val="28"/>
        </w:rPr>
      </w:pPr>
      <w:r w:rsidRPr="00FF6B64">
        <w:rPr>
          <w:color w:val="000000"/>
          <w:sz w:val="28"/>
          <w:szCs w:val="28"/>
        </w:rPr>
        <w:t>В отечественной литературе встречается следующая типизация групп. Например:</w:t>
      </w:r>
    </w:p>
    <w:p w:rsidR="008D59F4" w:rsidRPr="00FF6B64" w:rsidRDefault="008D59F4" w:rsidP="00FF6B64">
      <w:pPr>
        <w:numPr>
          <w:ilvl w:val="0"/>
          <w:numId w:val="9"/>
        </w:numPr>
        <w:shd w:val="clear" w:color="auto" w:fill="FFFFFF"/>
        <w:spacing w:line="276" w:lineRule="auto"/>
        <w:ind w:left="0" w:firstLine="709"/>
        <w:jc w:val="both"/>
        <w:rPr>
          <w:color w:val="000000"/>
          <w:sz w:val="28"/>
          <w:szCs w:val="28"/>
        </w:rPr>
      </w:pPr>
      <w:r w:rsidRPr="00FF6B64">
        <w:rPr>
          <w:color w:val="000000"/>
          <w:sz w:val="28"/>
          <w:szCs w:val="28"/>
        </w:rPr>
        <w:t>«горизонтальной группой» называется группа, в которой участие материнского предприятия в каждом из дочерних обусловлено владением более чем 50% их акций (голосов);</w:t>
      </w:r>
    </w:p>
    <w:p w:rsidR="008D59F4" w:rsidRPr="00FF6B64" w:rsidRDefault="008D59F4" w:rsidP="00FF6B64">
      <w:pPr>
        <w:numPr>
          <w:ilvl w:val="0"/>
          <w:numId w:val="9"/>
        </w:numPr>
        <w:shd w:val="clear" w:color="auto" w:fill="FFFFFF"/>
        <w:spacing w:line="276" w:lineRule="auto"/>
        <w:ind w:left="0" w:firstLine="709"/>
        <w:jc w:val="both"/>
        <w:rPr>
          <w:color w:val="000000"/>
          <w:sz w:val="28"/>
          <w:szCs w:val="28"/>
        </w:rPr>
      </w:pPr>
      <w:r w:rsidRPr="00FF6B64">
        <w:rPr>
          <w:color w:val="000000"/>
          <w:sz w:val="28"/>
          <w:szCs w:val="28"/>
        </w:rPr>
        <w:t>«вертикальной группой» называется группа, в которой материнское предприятие контролирует капитал «внучатного» предприятия через свое дочернее – непосредственного учредителя такого предприятия;</w:t>
      </w:r>
    </w:p>
    <w:p w:rsidR="008D59F4" w:rsidRDefault="008D59F4" w:rsidP="00FF6B64">
      <w:pPr>
        <w:numPr>
          <w:ilvl w:val="0"/>
          <w:numId w:val="9"/>
        </w:numPr>
        <w:shd w:val="clear" w:color="auto" w:fill="FFFFFF"/>
        <w:spacing w:line="276" w:lineRule="auto"/>
        <w:ind w:left="0" w:firstLine="709"/>
        <w:jc w:val="both"/>
        <w:rPr>
          <w:color w:val="000000"/>
          <w:sz w:val="28"/>
          <w:szCs w:val="28"/>
        </w:rPr>
      </w:pPr>
      <w:r w:rsidRPr="00FF6B64">
        <w:rPr>
          <w:color w:val="000000"/>
          <w:sz w:val="28"/>
          <w:szCs w:val="28"/>
        </w:rPr>
        <w:t>«смешанной группой» называется группа, для которой характерно наличие последовательно-параллельных связей между контролирующими и зависимыми предприятиями.</w:t>
      </w:r>
    </w:p>
    <w:p w:rsidR="00247D9C" w:rsidRPr="00FF6B64" w:rsidRDefault="00247D9C" w:rsidP="00247D9C">
      <w:pPr>
        <w:shd w:val="clear" w:color="auto" w:fill="FFFFFF"/>
        <w:spacing w:line="276" w:lineRule="auto"/>
        <w:ind w:left="709"/>
        <w:jc w:val="both"/>
        <w:rPr>
          <w:color w:val="000000"/>
          <w:sz w:val="28"/>
          <w:szCs w:val="28"/>
        </w:rPr>
      </w:pPr>
    </w:p>
    <w:p w:rsidR="00247D9C" w:rsidRDefault="008D59F4" w:rsidP="00FF6B64">
      <w:pPr>
        <w:spacing w:line="276" w:lineRule="auto"/>
        <w:jc w:val="center"/>
        <w:rPr>
          <w:b/>
          <w:iCs/>
          <w:color w:val="000000"/>
          <w:spacing w:val="-1"/>
          <w:sz w:val="28"/>
          <w:szCs w:val="28"/>
        </w:rPr>
      </w:pPr>
      <w:bookmarkStart w:id="0" w:name="balansovedenie18"/>
      <w:bookmarkEnd w:id="0"/>
      <w:r w:rsidRPr="00FF6B64">
        <w:rPr>
          <w:b/>
          <w:iCs/>
          <w:color w:val="000000"/>
          <w:spacing w:val="-1"/>
          <w:sz w:val="28"/>
          <w:szCs w:val="28"/>
        </w:rPr>
        <w:t xml:space="preserve">2 Материнская, дочерняя и ассоциированная компании. </w:t>
      </w:r>
    </w:p>
    <w:p w:rsidR="008D59F4" w:rsidRPr="00FF6B64" w:rsidRDefault="008D59F4" w:rsidP="00FF6B64">
      <w:pPr>
        <w:spacing w:line="276" w:lineRule="auto"/>
        <w:jc w:val="center"/>
        <w:rPr>
          <w:b/>
          <w:iCs/>
          <w:color w:val="000000"/>
          <w:spacing w:val="-1"/>
          <w:sz w:val="28"/>
          <w:szCs w:val="28"/>
        </w:rPr>
      </w:pPr>
      <w:r w:rsidRPr="00FF6B64">
        <w:rPr>
          <w:b/>
          <w:iCs/>
          <w:color w:val="000000"/>
          <w:spacing w:val="-1"/>
          <w:sz w:val="28"/>
          <w:szCs w:val="28"/>
        </w:rPr>
        <w:t xml:space="preserve">Оценка инвестиций в ассоциированные компании </w:t>
      </w:r>
    </w:p>
    <w:p w:rsidR="008D59F4" w:rsidRPr="00FF6B64" w:rsidRDefault="008D59F4" w:rsidP="00FF6B64">
      <w:pPr>
        <w:spacing w:line="276" w:lineRule="auto"/>
        <w:jc w:val="center"/>
        <w:rPr>
          <w:b/>
          <w:iCs/>
          <w:color w:val="000000"/>
          <w:spacing w:val="-1"/>
          <w:sz w:val="28"/>
          <w:szCs w:val="28"/>
        </w:rPr>
      </w:pPr>
      <w:r w:rsidRPr="00FF6B64">
        <w:rPr>
          <w:b/>
          <w:iCs/>
          <w:color w:val="000000"/>
          <w:spacing w:val="-1"/>
          <w:sz w:val="28"/>
          <w:szCs w:val="28"/>
        </w:rPr>
        <w:t>в консолидированной отчетности</w:t>
      </w:r>
    </w:p>
    <w:p w:rsidR="008D59F4" w:rsidRPr="00FF6B64" w:rsidRDefault="008D59F4" w:rsidP="00FF6B64">
      <w:pPr>
        <w:spacing w:line="276" w:lineRule="auto"/>
        <w:jc w:val="center"/>
        <w:rPr>
          <w:b/>
          <w:iCs/>
          <w:color w:val="000000"/>
          <w:spacing w:val="-1"/>
          <w:sz w:val="28"/>
          <w:szCs w:val="28"/>
        </w:rPr>
      </w:pPr>
    </w:p>
    <w:p w:rsidR="008D59F4" w:rsidRPr="00FF6B64" w:rsidRDefault="008D59F4" w:rsidP="00FF6B64">
      <w:pPr>
        <w:pStyle w:val="a5"/>
        <w:spacing w:line="276" w:lineRule="auto"/>
        <w:rPr>
          <w:sz w:val="28"/>
          <w:szCs w:val="28"/>
        </w:rPr>
      </w:pPr>
      <w:r w:rsidRPr="00FF6B64">
        <w:rPr>
          <w:bCs/>
          <w:i/>
          <w:sz w:val="28"/>
          <w:szCs w:val="28"/>
        </w:rPr>
        <w:t>Материнская компания</w:t>
      </w:r>
      <w:r w:rsidRPr="00FF6B64">
        <w:rPr>
          <w:sz w:val="28"/>
          <w:szCs w:val="28"/>
        </w:rPr>
        <w:t xml:space="preserve"> (основное общество) контролирует деятельность одной или нескольких дочерних компаний. Она обязана составлять сводную (консолидированную) финансовую отчетность.   </w:t>
      </w:r>
    </w:p>
    <w:p w:rsidR="008D59F4" w:rsidRPr="00FF6B64" w:rsidRDefault="008D59F4" w:rsidP="00FF6B64">
      <w:pPr>
        <w:pStyle w:val="a5"/>
        <w:spacing w:line="276" w:lineRule="auto"/>
        <w:rPr>
          <w:sz w:val="28"/>
          <w:szCs w:val="28"/>
        </w:rPr>
      </w:pPr>
      <w:r w:rsidRPr="00FF6B64">
        <w:rPr>
          <w:bCs/>
          <w:i/>
          <w:sz w:val="28"/>
          <w:szCs w:val="28"/>
        </w:rPr>
        <w:t>Дочерняя компания</w:t>
      </w:r>
      <w:r w:rsidRPr="00FF6B64">
        <w:rPr>
          <w:sz w:val="28"/>
          <w:szCs w:val="28"/>
        </w:rPr>
        <w:t xml:space="preserve"> (общество) признается таковой, если другая компания, называемая материнской, в результате преобладающего участия в ее уставном капитале, либо в соответствии с договором между ними, либо иным способом осуществляет существующий контроль ее деятельности, имеет возможность определять решения, принимаемые такой компанией.  </w:t>
      </w:r>
    </w:p>
    <w:p w:rsidR="008D59F4" w:rsidRPr="00FF6B64" w:rsidRDefault="008D59F4" w:rsidP="00FF6B64">
      <w:pPr>
        <w:spacing w:line="276" w:lineRule="auto"/>
        <w:ind w:firstLine="720"/>
        <w:jc w:val="both"/>
        <w:rPr>
          <w:sz w:val="28"/>
          <w:szCs w:val="28"/>
        </w:rPr>
      </w:pPr>
      <w:r w:rsidRPr="00FF6B64">
        <w:rPr>
          <w:i/>
          <w:sz w:val="28"/>
          <w:szCs w:val="28"/>
        </w:rPr>
        <w:t>Ассоциированная компания</w:t>
      </w:r>
      <w:r w:rsidRPr="00FF6B64">
        <w:rPr>
          <w:sz w:val="28"/>
          <w:szCs w:val="28"/>
        </w:rPr>
        <w:t xml:space="preserve"> - это компания, на деятельность которой инвестор оказывает значительное влияние, но которая не является ни дочерней компанией, ни совместной деятельностью. </w:t>
      </w:r>
    </w:p>
    <w:p w:rsidR="008D59F4" w:rsidRPr="00FF6B64" w:rsidRDefault="008D59F4" w:rsidP="00FF6B64">
      <w:pPr>
        <w:spacing w:line="276" w:lineRule="auto"/>
        <w:ind w:firstLine="720"/>
        <w:jc w:val="both"/>
        <w:rPr>
          <w:sz w:val="28"/>
          <w:szCs w:val="28"/>
        </w:rPr>
      </w:pPr>
      <w:r w:rsidRPr="00FF6B64">
        <w:rPr>
          <w:sz w:val="28"/>
          <w:szCs w:val="28"/>
        </w:rPr>
        <w:t xml:space="preserve">Значительное влияние обычно возникает в тех случаях, когда инвестор владеет прямо или косвенно через другие дочерние компании 20% и более голосующих акций объекта инвестиций, не имея при этом контроля над объектом инвестиций. Обычно предполагается, что владение менее чем 20% голосующих акций компании не приводит к значительному влиянию инвестора на эту компанию. Однако для определения того, является ли компания ассоциированной, МСФО требуют не ограничиваться наличием формальных признаков значительного влияния и анализировать содержание отношений </w:t>
      </w:r>
      <w:r w:rsidRPr="00FF6B64">
        <w:rPr>
          <w:sz w:val="28"/>
          <w:szCs w:val="28"/>
        </w:rPr>
        <w:lastRenderedPageBreak/>
        <w:t>между инвестором и объектом инвестиций. Типичными свидетельствами наличия значительного влияния со стороны инвестора являются:</w:t>
      </w:r>
    </w:p>
    <w:p w:rsidR="008D59F4" w:rsidRPr="00FF6B64" w:rsidRDefault="008D59F4" w:rsidP="00FF6B64">
      <w:pPr>
        <w:spacing w:line="276" w:lineRule="auto"/>
        <w:ind w:firstLine="720"/>
        <w:jc w:val="both"/>
        <w:textAlignment w:val="baseline"/>
        <w:rPr>
          <w:sz w:val="28"/>
          <w:szCs w:val="28"/>
        </w:rPr>
      </w:pPr>
      <w:r w:rsidRPr="00FF6B64">
        <w:rPr>
          <w:sz w:val="28"/>
          <w:szCs w:val="28"/>
        </w:rPr>
        <w:t>- представительство в совете директоров или ином аналогичном органе управления объекта инвестиции;</w:t>
      </w:r>
    </w:p>
    <w:p w:rsidR="008D59F4" w:rsidRPr="00FF6B64" w:rsidRDefault="008D59F4" w:rsidP="00FF6B64">
      <w:pPr>
        <w:spacing w:line="276" w:lineRule="auto"/>
        <w:ind w:firstLine="720"/>
        <w:jc w:val="both"/>
        <w:textAlignment w:val="baseline"/>
        <w:rPr>
          <w:sz w:val="28"/>
          <w:szCs w:val="28"/>
        </w:rPr>
      </w:pPr>
      <w:r w:rsidRPr="00FF6B64">
        <w:rPr>
          <w:sz w:val="28"/>
          <w:szCs w:val="28"/>
        </w:rPr>
        <w:t>- участие в процессе выработки финансовой и оперативной политики;</w:t>
      </w:r>
    </w:p>
    <w:p w:rsidR="008D59F4" w:rsidRPr="00FF6B64" w:rsidRDefault="008D59F4" w:rsidP="00FF6B64">
      <w:pPr>
        <w:spacing w:line="276" w:lineRule="auto"/>
        <w:ind w:firstLine="720"/>
        <w:jc w:val="both"/>
        <w:textAlignment w:val="baseline"/>
        <w:rPr>
          <w:sz w:val="28"/>
          <w:szCs w:val="28"/>
        </w:rPr>
      </w:pPr>
      <w:r w:rsidRPr="00FF6B64">
        <w:rPr>
          <w:sz w:val="28"/>
          <w:szCs w:val="28"/>
        </w:rPr>
        <w:t>- наличие значительных денежных потоков и сделок между инвестором и объектом инвестиций;</w:t>
      </w:r>
    </w:p>
    <w:p w:rsidR="008D59F4" w:rsidRPr="00FF6B64" w:rsidRDefault="008D59F4" w:rsidP="00FF6B64">
      <w:pPr>
        <w:spacing w:line="276" w:lineRule="auto"/>
        <w:ind w:firstLine="720"/>
        <w:jc w:val="both"/>
        <w:textAlignment w:val="baseline"/>
        <w:rPr>
          <w:sz w:val="28"/>
          <w:szCs w:val="28"/>
        </w:rPr>
      </w:pPr>
      <w:r w:rsidRPr="00FF6B64">
        <w:rPr>
          <w:sz w:val="28"/>
          <w:szCs w:val="28"/>
        </w:rPr>
        <w:t xml:space="preserve">- обмен управленческим персоналом; </w:t>
      </w:r>
    </w:p>
    <w:p w:rsidR="008D59F4" w:rsidRPr="00FF6B64" w:rsidRDefault="008D59F4" w:rsidP="00FF6B64">
      <w:pPr>
        <w:spacing w:line="276" w:lineRule="auto"/>
        <w:ind w:firstLine="720"/>
        <w:jc w:val="both"/>
        <w:textAlignment w:val="baseline"/>
        <w:rPr>
          <w:sz w:val="28"/>
          <w:szCs w:val="28"/>
        </w:rPr>
      </w:pPr>
      <w:r w:rsidRPr="00FF6B64">
        <w:rPr>
          <w:sz w:val="28"/>
          <w:szCs w:val="28"/>
        </w:rPr>
        <w:t>- предоставление важной технической информации.</w:t>
      </w:r>
    </w:p>
    <w:p w:rsidR="008D59F4" w:rsidRPr="00FF6B64" w:rsidRDefault="008D59F4" w:rsidP="00FF6B64">
      <w:pPr>
        <w:spacing w:line="276" w:lineRule="auto"/>
        <w:ind w:firstLine="720"/>
        <w:jc w:val="both"/>
        <w:textAlignment w:val="baseline"/>
        <w:rPr>
          <w:sz w:val="28"/>
          <w:szCs w:val="28"/>
        </w:rPr>
      </w:pPr>
      <w:r w:rsidRPr="00FF6B64">
        <w:rPr>
          <w:sz w:val="28"/>
          <w:szCs w:val="28"/>
        </w:rPr>
        <w:t>Инвестиции в ассоциированные компании учитываются в консолидированной финансовой отчетности инвестора по методу долевого участия в капитале (</w:t>
      </w:r>
      <w:proofErr w:type="spellStart"/>
      <w:r w:rsidRPr="00FF6B64">
        <w:rPr>
          <w:sz w:val="28"/>
          <w:szCs w:val="28"/>
        </w:rPr>
        <w:t>equity</w:t>
      </w:r>
      <w:proofErr w:type="spellEnd"/>
      <w:r w:rsidRPr="00FF6B64">
        <w:rPr>
          <w:sz w:val="28"/>
          <w:szCs w:val="28"/>
        </w:rPr>
        <w:t xml:space="preserve"> </w:t>
      </w:r>
      <w:proofErr w:type="spellStart"/>
      <w:r w:rsidRPr="00FF6B64">
        <w:rPr>
          <w:sz w:val="28"/>
          <w:szCs w:val="28"/>
        </w:rPr>
        <w:t>method</w:t>
      </w:r>
      <w:proofErr w:type="spellEnd"/>
      <w:r w:rsidRPr="00FF6B64">
        <w:rPr>
          <w:sz w:val="28"/>
          <w:szCs w:val="28"/>
        </w:rPr>
        <w:t>).</w:t>
      </w:r>
    </w:p>
    <w:p w:rsidR="008D59F4" w:rsidRPr="00FF6B64" w:rsidRDefault="008D59F4" w:rsidP="00FF6B64">
      <w:pPr>
        <w:spacing w:line="276" w:lineRule="auto"/>
        <w:ind w:firstLine="720"/>
        <w:jc w:val="both"/>
        <w:rPr>
          <w:sz w:val="28"/>
          <w:szCs w:val="28"/>
        </w:rPr>
      </w:pPr>
      <w:r w:rsidRPr="00FF6B64">
        <w:rPr>
          <w:sz w:val="28"/>
          <w:szCs w:val="28"/>
        </w:rPr>
        <w:t>Согласно методу долевого участия</w:t>
      </w:r>
      <w:r w:rsidR="00B45973">
        <w:rPr>
          <w:sz w:val="28"/>
          <w:szCs w:val="28"/>
        </w:rPr>
        <w:t>,</w:t>
      </w:r>
      <w:r w:rsidRPr="00FF6B64">
        <w:rPr>
          <w:sz w:val="28"/>
          <w:szCs w:val="28"/>
        </w:rPr>
        <w:t xml:space="preserve"> в капитале инвестиции первоначально отражаются по стоимости приобретения и их балансовая стоимость увеличивается или уменьшается на признанную долю инвестора в прибылях и убытках ассоциированной компании после</w:t>
      </w:r>
      <w:bookmarkStart w:id="1" w:name="_GoBack"/>
      <w:bookmarkEnd w:id="1"/>
      <w:r w:rsidRPr="00FF6B64">
        <w:rPr>
          <w:sz w:val="28"/>
          <w:szCs w:val="28"/>
        </w:rPr>
        <w:t xml:space="preserve"> даты приобретения. Кроме того, после первоначального признания инвестиции в ассоциированную компанию ее стоимость также подлежит корректировке на:</w:t>
      </w:r>
    </w:p>
    <w:p w:rsidR="008D59F4" w:rsidRPr="00FF6B64" w:rsidRDefault="008D59F4" w:rsidP="00FF6B64">
      <w:pPr>
        <w:spacing w:line="276" w:lineRule="auto"/>
        <w:ind w:firstLine="720"/>
        <w:jc w:val="both"/>
        <w:textAlignment w:val="baseline"/>
        <w:rPr>
          <w:sz w:val="28"/>
          <w:szCs w:val="28"/>
        </w:rPr>
      </w:pPr>
      <w:r w:rsidRPr="00FF6B64">
        <w:rPr>
          <w:sz w:val="28"/>
          <w:szCs w:val="28"/>
        </w:rPr>
        <w:t>- сумму полученных дивидендов (уменьшение балансовой стоимости инвестиции);</w:t>
      </w:r>
    </w:p>
    <w:p w:rsidR="008D59F4" w:rsidRPr="00FF6B64" w:rsidRDefault="008D59F4" w:rsidP="00FF6B64">
      <w:pPr>
        <w:spacing w:line="276" w:lineRule="auto"/>
        <w:ind w:firstLine="720"/>
        <w:jc w:val="both"/>
        <w:textAlignment w:val="baseline"/>
        <w:rPr>
          <w:sz w:val="28"/>
          <w:szCs w:val="28"/>
        </w:rPr>
      </w:pPr>
      <w:r w:rsidRPr="00FF6B64">
        <w:rPr>
          <w:sz w:val="28"/>
          <w:szCs w:val="28"/>
        </w:rPr>
        <w:t>- отражения изменений в стоимости доли участия инвестора в объекте инвестиций, возникающих в результате изменений в собственном капитале объекта инвестиций, которые не были включены в отчет о финансовых результатах (например, в результате переоценки основных средств или курсовых разниц).</w:t>
      </w:r>
    </w:p>
    <w:p w:rsidR="008D59F4" w:rsidRPr="00FF6B64" w:rsidRDefault="008D59F4" w:rsidP="00FF6B64">
      <w:pPr>
        <w:spacing w:line="276" w:lineRule="auto"/>
        <w:ind w:firstLine="720"/>
        <w:jc w:val="both"/>
        <w:rPr>
          <w:iCs/>
          <w:color w:val="000000"/>
          <w:spacing w:val="-1"/>
          <w:sz w:val="28"/>
          <w:szCs w:val="28"/>
        </w:rPr>
      </w:pPr>
      <w:r w:rsidRPr="00FF6B64">
        <w:rPr>
          <w:sz w:val="28"/>
          <w:szCs w:val="28"/>
        </w:rPr>
        <w:t>Также при составлении консолидированной отчетности инвестора исключается доля инвестора в финансовых результатах (прибыли или убытке) от сделок между инвестором и объектом инвестиций - нереализованная прибыль (убыток). При этом понятие «инвестор» в данном случае подразумевает всю отчитывающуюся консолидированную группу, включая также и дочерние компании.</w:t>
      </w:r>
    </w:p>
    <w:p w:rsidR="008D59F4" w:rsidRPr="00FF6B64" w:rsidRDefault="008D59F4" w:rsidP="00FF6B64">
      <w:pPr>
        <w:spacing w:line="276" w:lineRule="auto"/>
        <w:jc w:val="both"/>
        <w:rPr>
          <w:iCs/>
          <w:color w:val="000000"/>
          <w:spacing w:val="-1"/>
          <w:sz w:val="28"/>
          <w:szCs w:val="28"/>
        </w:rPr>
      </w:pPr>
    </w:p>
    <w:sectPr w:rsidR="008D59F4" w:rsidRPr="00FF6B64" w:rsidSect="00FF6B6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8A2B36"/>
    <w:multiLevelType w:val="hybridMultilevel"/>
    <w:tmpl w:val="0554C76A"/>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 w15:restartNumberingAfterBreak="0">
    <w:nsid w:val="155A58C6"/>
    <w:multiLevelType w:val="multilevel"/>
    <w:tmpl w:val="D78498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5E17E9F"/>
    <w:multiLevelType w:val="multilevel"/>
    <w:tmpl w:val="DF3EE5F6"/>
    <w:lvl w:ilvl="0">
      <w:start w:val="3"/>
      <w:numFmt w:val="decimal"/>
      <w:lvlText w:val="%1"/>
      <w:lvlJc w:val="left"/>
      <w:pPr>
        <w:ind w:left="405" w:hanging="405"/>
      </w:pPr>
    </w:lvl>
    <w:lvl w:ilvl="1">
      <w:start w:val="3"/>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440" w:hanging="144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2160" w:hanging="2160"/>
      </w:pPr>
    </w:lvl>
    <w:lvl w:ilvl="8">
      <w:start w:val="1"/>
      <w:numFmt w:val="decimal"/>
      <w:lvlText w:val="%1.%2.%3.%4.%5.%6.%7.%8.%9"/>
      <w:lvlJc w:val="left"/>
      <w:pPr>
        <w:ind w:left="2160" w:hanging="2160"/>
      </w:pPr>
    </w:lvl>
  </w:abstractNum>
  <w:abstractNum w:abstractNumId="3" w15:restartNumberingAfterBreak="0">
    <w:nsid w:val="1BD02CF1"/>
    <w:multiLevelType w:val="hybridMultilevel"/>
    <w:tmpl w:val="A1862D92"/>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15:restartNumberingAfterBreak="0">
    <w:nsid w:val="21C37E9A"/>
    <w:multiLevelType w:val="singleLevel"/>
    <w:tmpl w:val="40B49AD6"/>
    <w:lvl w:ilvl="0">
      <w:start w:val="1"/>
      <w:numFmt w:val="decimal"/>
      <w:lvlText w:val="%1."/>
      <w:legacy w:legacy="1" w:legacySpace="0" w:legacyIndent="293"/>
      <w:lvlJc w:val="left"/>
      <w:rPr>
        <w:rFonts w:ascii="Times New Roman" w:hAnsi="Times New Roman" w:cs="Times New Roman" w:hint="default"/>
      </w:rPr>
    </w:lvl>
  </w:abstractNum>
  <w:abstractNum w:abstractNumId="5" w15:restartNumberingAfterBreak="0">
    <w:nsid w:val="2BE6512B"/>
    <w:multiLevelType w:val="multilevel"/>
    <w:tmpl w:val="30D2665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15:restartNumberingAfterBreak="0">
    <w:nsid w:val="3E6F600F"/>
    <w:multiLevelType w:val="hybridMultilevel"/>
    <w:tmpl w:val="E67A6C3A"/>
    <w:lvl w:ilvl="0" w:tplc="3772963C">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7" w15:restartNumberingAfterBreak="0">
    <w:nsid w:val="479A1E07"/>
    <w:multiLevelType w:val="hybridMultilevel"/>
    <w:tmpl w:val="A1ACB3AA"/>
    <w:lvl w:ilvl="0" w:tplc="E872DAC0">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8" w15:restartNumberingAfterBreak="0">
    <w:nsid w:val="5F1B4CC5"/>
    <w:multiLevelType w:val="multilevel"/>
    <w:tmpl w:val="BE72AE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486380A"/>
    <w:multiLevelType w:val="hybridMultilevel"/>
    <w:tmpl w:val="CDFA84E4"/>
    <w:lvl w:ilvl="0" w:tplc="2E1660B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6C7C1688"/>
    <w:multiLevelType w:val="multilevel"/>
    <w:tmpl w:val="2514F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6D867A1F"/>
    <w:multiLevelType w:val="singleLevel"/>
    <w:tmpl w:val="B5DE7DCE"/>
    <w:lvl w:ilvl="0">
      <w:start w:val="1"/>
      <w:numFmt w:val="decimal"/>
      <w:lvlText w:val="%1)"/>
      <w:legacy w:legacy="1" w:legacySpace="0" w:legacyIndent="215"/>
      <w:lvlJc w:val="left"/>
      <w:rPr>
        <w:rFonts w:ascii="Times New Roman" w:hAnsi="Times New Roman" w:cs="Times New Roman" w:hint="default"/>
      </w:rPr>
    </w:lvl>
  </w:abstractNum>
  <w:abstractNum w:abstractNumId="12" w15:restartNumberingAfterBreak="0">
    <w:nsid w:val="73BE0336"/>
    <w:multiLevelType w:val="hybridMultilevel"/>
    <w:tmpl w:val="6DCE0022"/>
    <w:lvl w:ilvl="0" w:tplc="3D78B6C0">
      <w:start w:val="3"/>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3" w15:restartNumberingAfterBreak="0">
    <w:nsid w:val="7D573A4E"/>
    <w:multiLevelType w:val="multilevel"/>
    <w:tmpl w:val="20DC1140"/>
    <w:lvl w:ilvl="0">
      <w:start w:val="1"/>
      <w:numFmt w:val="decimal"/>
      <w:lvlText w:val="%1."/>
      <w:lvlJc w:val="left"/>
      <w:pPr>
        <w:tabs>
          <w:tab w:val="num" w:pos="720"/>
        </w:tabs>
        <w:ind w:left="720" w:hanging="360"/>
      </w:pPr>
    </w:lvl>
    <w:lvl w:ilvl="1">
      <w:start w:val="1"/>
      <w:numFmt w:val="decimal"/>
      <w:lvlText w:val="%2."/>
      <w:lvlJc w:val="left"/>
      <w:pPr>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11"/>
  </w:num>
  <w:num w:numId="2">
    <w:abstractNumId w:val="4"/>
  </w:num>
  <w:num w:numId="3">
    <w:abstractNumId w:val="0"/>
  </w:num>
  <w:num w:numId="4">
    <w:abstractNumId w:val="3"/>
  </w:num>
  <w:num w:numId="5">
    <w:abstractNumId w:val="9"/>
  </w:num>
  <w:num w:numId="6">
    <w:abstractNumId w:val="1"/>
  </w:num>
  <w:num w:numId="7">
    <w:abstractNumId w:val="8"/>
  </w:num>
  <w:num w:numId="8">
    <w:abstractNumId w:val="10"/>
  </w:num>
  <w:num w:numId="9">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
    <w:lvlOverride w:ilvl="0">
      <w:startOverride w:val="3"/>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7"/>
  </w:num>
  <w:num w:numId="13">
    <w:abstractNumId w:val="6"/>
  </w:num>
  <w:num w:numId="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C41E2"/>
    <w:rsid w:val="00145BFC"/>
    <w:rsid w:val="00153A05"/>
    <w:rsid w:val="001C41E2"/>
    <w:rsid w:val="001D38AF"/>
    <w:rsid w:val="00247D9C"/>
    <w:rsid w:val="00286F01"/>
    <w:rsid w:val="00314EC2"/>
    <w:rsid w:val="00353534"/>
    <w:rsid w:val="003C3094"/>
    <w:rsid w:val="004B6CC9"/>
    <w:rsid w:val="004E0850"/>
    <w:rsid w:val="005014C3"/>
    <w:rsid w:val="0058129E"/>
    <w:rsid w:val="0065212B"/>
    <w:rsid w:val="006C3C02"/>
    <w:rsid w:val="00787B69"/>
    <w:rsid w:val="008D59F4"/>
    <w:rsid w:val="009B50D3"/>
    <w:rsid w:val="009F0503"/>
    <w:rsid w:val="00A51817"/>
    <w:rsid w:val="00A9352E"/>
    <w:rsid w:val="00B45973"/>
    <w:rsid w:val="00B510D0"/>
    <w:rsid w:val="00B83540"/>
    <w:rsid w:val="00C06D1C"/>
    <w:rsid w:val="00C83080"/>
    <w:rsid w:val="00CD669F"/>
    <w:rsid w:val="00D427EC"/>
    <w:rsid w:val="00D66573"/>
    <w:rsid w:val="00ED3A65"/>
    <w:rsid w:val="00F02125"/>
    <w:rsid w:val="00FF6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CA8D2A"/>
  <w15:docId w15:val="{9D906583-B8B9-46BA-9262-A6750D7DC2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D669F"/>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CD669F"/>
    <w:pPr>
      <w:ind w:left="720"/>
      <w:contextualSpacing/>
    </w:pPr>
  </w:style>
  <w:style w:type="character" w:customStyle="1" w:styleId="blk">
    <w:name w:val="blk"/>
    <w:basedOn w:val="a0"/>
    <w:rsid w:val="00B510D0"/>
  </w:style>
  <w:style w:type="paragraph" w:styleId="a4">
    <w:name w:val="Normal (Web)"/>
    <w:basedOn w:val="a"/>
    <w:uiPriority w:val="99"/>
    <w:semiHidden/>
    <w:unhideWhenUsed/>
    <w:rsid w:val="001D38AF"/>
    <w:pPr>
      <w:spacing w:before="100" w:beforeAutospacing="1" w:after="100" w:afterAutospacing="1"/>
    </w:pPr>
  </w:style>
  <w:style w:type="paragraph" w:styleId="a5">
    <w:name w:val="Body Text Indent"/>
    <w:basedOn w:val="a"/>
    <w:link w:val="a6"/>
    <w:uiPriority w:val="99"/>
    <w:semiHidden/>
    <w:unhideWhenUsed/>
    <w:rsid w:val="008D59F4"/>
    <w:pPr>
      <w:suppressAutoHyphens/>
      <w:ind w:firstLine="720"/>
      <w:jc w:val="both"/>
    </w:pPr>
    <w:rPr>
      <w:szCs w:val="20"/>
      <w:lang w:eastAsia="ar-SA"/>
    </w:rPr>
  </w:style>
  <w:style w:type="character" w:customStyle="1" w:styleId="a6">
    <w:name w:val="Основной текст с отступом Знак"/>
    <w:basedOn w:val="a0"/>
    <w:link w:val="a5"/>
    <w:uiPriority w:val="99"/>
    <w:semiHidden/>
    <w:rsid w:val="008D59F4"/>
    <w:rPr>
      <w:rFonts w:ascii="Times New Roman" w:eastAsia="Times New Roman" w:hAnsi="Times New Roman" w:cs="Times New Roman"/>
      <w:sz w:val="24"/>
      <w:szCs w:val="20"/>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22638">
      <w:bodyDiv w:val="1"/>
      <w:marLeft w:val="0"/>
      <w:marRight w:val="0"/>
      <w:marTop w:val="0"/>
      <w:marBottom w:val="0"/>
      <w:divBdr>
        <w:top w:val="none" w:sz="0" w:space="0" w:color="auto"/>
        <w:left w:val="none" w:sz="0" w:space="0" w:color="auto"/>
        <w:bottom w:val="none" w:sz="0" w:space="0" w:color="auto"/>
        <w:right w:val="none" w:sz="0" w:space="0" w:color="auto"/>
      </w:divBdr>
    </w:div>
    <w:div w:id="176888007">
      <w:bodyDiv w:val="1"/>
      <w:marLeft w:val="0"/>
      <w:marRight w:val="0"/>
      <w:marTop w:val="0"/>
      <w:marBottom w:val="0"/>
      <w:divBdr>
        <w:top w:val="none" w:sz="0" w:space="0" w:color="auto"/>
        <w:left w:val="none" w:sz="0" w:space="0" w:color="auto"/>
        <w:bottom w:val="none" w:sz="0" w:space="0" w:color="auto"/>
        <w:right w:val="none" w:sz="0" w:space="0" w:color="auto"/>
      </w:divBdr>
    </w:div>
    <w:div w:id="217403686">
      <w:bodyDiv w:val="1"/>
      <w:marLeft w:val="0"/>
      <w:marRight w:val="0"/>
      <w:marTop w:val="0"/>
      <w:marBottom w:val="0"/>
      <w:divBdr>
        <w:top w:val="none" w:sz="0" w:space="0" w:color="auto"/>
        <w:left w:val="none" w:sz="0" w:space="0" w:color="auto"/>
        <w:bottom w:val="none" w:sz="0" w:space="0" w:color="auto"/>
        <w:right w:val="none" w:sz="0" w:space="0" w:color="auto"/>
      </w:divBdr>
      <w:divsChild>
        <w:div w:id="1423798427">
          <w:marLeft w:val="0"/>
          <w:marRight w:val="0"/>
          <w:marTop w:val="120"/>
          <w:marBottom w:val="0"/>
          <w:divBdr>
            <w:top w:val="none" w:sz="0" w:space="0" w:color="auto"/>
            <w:left w:val="none" w:sz="0" w:space="0" w:color="auto"/>
            <w:bottom w:val="none" w:sz="0" w:space="0" w:color="auto"/>
            <w:right w:val="none" w:sz="0" w:space="0" w:color="auto"/>
          </w:divBdr>
        </w:div>
        <w:div w:id="558370564">
          <w:marLeft w:val="0"/>
          <w:marRight w:val="0"/>
          <w:marTop w:val="120"/>
          <w:marBottom w:val="0"/>
          <w:divBdr>
            <w:top w:val="none" w:sz="0" w:space="0" w:color="auto"/>
            <w:left w:val="none" w:sz="0" w:space="0" w:color="auto"/>
            <w:bottom w:val="none" w:sz="0" w:space="0" w:color="auto"/>
            <w:right w:val="none" w:sz="0" w:space="0" w:color="auto"/>
          </w:divBdr>
        </w:div>
      </w:divsChild>
    </w:div>
    <w:div w:id="679283367">
      <w:bodyDiv w:val="1"/>
      <w:marLeft w:val="0"/>
      <w:marRight w:val="0"/>
      <w:marTop w:val="0"/>
      <w:marBottom w:val="0"/>
      <w:divBdr>
        <w:top w:val="none" w:sz="0" w:space="0" w:color="auto"/>
        <w:left w:val="none" w:sz="0" w:space="0" w:color="auto"/>
        <w:bottom w:val="none" w:sz="0" w:space="0" w:color="auto"/>
        <w:right w:val="none" w:sz="0" w:space="0" w:color="auto"/>
      </w:divBdr>
    </w:div>
    <w:div w:id="1067530298">
      <w:bodyDiv w:val="1"/>
      <w:marLeft w:val="0"/>
      <w:marRight w:val="0"/>
      <w:marTop w:val="0"/>
      <w:marBottom w:val="0"/>
      <w:divBdr>
        <w:top w:val="none" w:sz="0" w:space="0" w:color="auto"/>
        <w:left w:val="none" w:sz="0" w:space="0" w:color="auto"/>
        <w:bottom w:val="none" w:sz="0" w:space="0" w:color="auto"/>
        <w:right w:val="none" w:sz="0" w:space="0" w:color="auto"/>
      </w:divBdr>
      <w:divsChild>
        <w:div w:id="1242255946">
          <w:marLeft w:val="60"/>
          <w:marRight w:val="60"/>
          <w:marTop w:val="100"/>
          <w:marBottom w:val="100"/>
          <w:divBdr>
            <w:top w:val="none" w:sz="0" w:space="0" w:color="auto"/>
            <w:left w:val="none" w:sz="0" w:space="0" w:color="auto"/>
            <w:bottom w:val="none" w:sz="0" w:space="0" w:color="auto"/>
            <w:right w:val="none" w:sz="0" w:space="0" w:color="auto"/>
          </w:divBdr>
          <w:divsChild>
            <w:div w:id="1761757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4571293">
      <w:bodyDiv w:val="1"/>
      <w:marLeft w:val="0"/>
      <w:marRight w:val="0"/>
      <w:marTop w:val="0"/>
      <w:marBottom w:val="0"/>
      <w:divBdr>
        <w:top w:val="none" w:sz="0" w:space="0" w:color="auto"/>
        <w:left w:val="none" w:sz="0" w:space="0" w:color="auto"/>
        <w:bottom w:val="none" w:sz="0" w:space="0" w:color="auto"/>
        <w:right w:val="none" w:sz="0" w:space="0" w:color="auto"/>
      </w:divBdr>
      <w:divsChild>
        <w:div w:id="1143233194">
          <w:marLeft w:val="60"/>
          <w:marRight w:val="60"/>
          <w:marTop w:val="100"/>
          <w:marBottom w:val="100"/>
          <w:divBdr>
            <w:top w:val="none" w:sz="0" w:space="0" w:color="auto"/>
            <w:left w:val="none" w:sz="0" w:space="0" w:color="auto"/>
            <w:bottom w:val="none" w:sz="0" w:space="0" w:color="auto"/>
            <w:right w:val="none" w:sz="0" w:space="0" w:color="auto"/>
          </w:divBdr>
        </w:div>
      </w:divsChild>
    </w:div>
    <w:div w:id="1461922318">
      <w:bodyDiv w:val="1"/>
      <w:marLeft w:val="0"/>
      <w:marRight w:val="0"/>
      <w:marTop w:val="0"/>
      <w:marBottom w:val="0"/>
      <w:divBdr>
        <w:top w:val="none" w:sz="0" w:space="0" w:color="auto"/>
        <w:left w:val="none" w:sz="0" w:space="0" w:color="auto"/>
        <w:bottom w:val="none" w:sz="0" w:space="0" w:color="auto"/>
        <w:right w:val="none" w:sz="0" w:space="0" w:color="auto"/>
      </w:divBdr>
    </w:div>
    <w:div w:id="1796873793">
      <w:bodyDiv w:val="1"/>
      <w:marLeft w:val="0"/>
      <w:marRight w:val="0"/>
      <w:marTop w:val="0"/>
      <w:marBottom w:val="0"/>
      <w:divBdr>
        <w:top w:val="none" w:sz="0" w:space="0" w:color="auto"/>
        <w:left w:val="none" w:sz="0" w:space="0" w:color="auto"/>
        <w:bottom w:val="none" w:sz="0" w:space="0" w:color="auto"/>
        <w:right w:val="none" w:sz="0" w:space="0" w:color="auto"/>
      </w:divBdr>
    </w:div>
    <w:div w:id="1979070387">
      <w:bodyDiv w:val="1"/>
      <w:marLeft w:val="0"/>
      <w:marRight w:val="0"/>
      <w:marTop w:val="0"/>
      <w:marBottom w:val="0"/>
      <w:divBdr>
        <w:top w:val="none" w:sz="0" w:space="0" w:color="auto"/>
        <w:left w:val="none" w:sz="0" w:space="0" w:color="auto"/>
        <w:bottom w:val="none" w:sz="0" w:space="0" w:color="auto"/>
        <w:right w:val="none" w:sz="0" w:space="0" w:color="auto"/>
      </w:divBdr>
    </w:div>
    <w:div w:id="20003089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113</TotalTime>
  <Pages>5</Pages>
  <Words>1597</Words>
  <Characters>9109</Characters>
  <Application>Microsoft Office Word</Application>
  <DocSecurity>0</DocSecurity>
  <Lines>75</Lines>
  <Paragraphs>21</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10685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Ирина</dc:creator>
  <cp:keywords/>
  <dc:description/>
  <cp:lastModifiedBy>PIV12</cp:lastModifiedBy>
  <cp:revision>17</cp:revision>
  <dcterms:created xsi:type="dcterms:W3CDTF">2020-05-05T13:49:00Z</dcterms:created>
  <dcterms:modified xsi:type="dcterms:W3CDTF">2022-05-09T11:33:00Z</dcterms:modified>
</cp:coreProperties>
</file>