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9C3A0" w14:textId="70DACED5" w:rsidR="00F64AC3" w:rsidRPr="0068685C" w:rsidRDefault="00F64AC3" w:rsidP="0068685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Лекция</w:t>
      </w:r>
    </w:p>
    <w:p w14:paraId="7B75B626" w14:textId="5CF78F85" w:rsidR="000933B4" w:rsidRDefault="009714DF" w:rsidP="0068685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Биобезопасность радионуклидов, мутагенов и канцерогенов.</w:t>
      </w:r>
    </w:p>
    <w:p w14:paraId="7892386A" w14:textId="77777777" w:rsidR="0068685C" w:rsidRPr="0068685C" w:rsidRDefault="0068685C" w:rsidP="0068685C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</w:p>
    <w:p w14:paraId="6DD9D6E6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Путем анализа радиоактивного фона оцениваются возможные пути нагруз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ки на человека, загрязнения пищевых продуктов радиоактивными веществами, определяются меры профилактики.</w:t>
      </w:r>
    </w:p>
    <w:p w14:paraId="59162293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Считают, что радиационный фон Земли складывается из трех компонентов:</w:t>
      </w:r>
    </w:p>
    <w:p w14:paraId="41394655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космическое излучение;</w:t>
      </w:r>
    </w:p>
    <w:p w14:paraId="4D4BF80E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естественные радионуклиды, содержащиеся в земле, воде, воздухе, других объектах окружающей среды;</w:t>
      </w:r>
    </w:p>
    <w:p w14:paraId="76780E5E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искусственные радионуклиды, образовавшиеся в результате человечес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кой деятельности (например, при ядерных испытаниях); радиоактивные отходы, отдельные радиоактивные вещества, используемые в медицине, технике, сельском хозяйстве.</w:t>
      </w:r>
    </w:p>
    <w:p w14:paraId="76CC31D1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Естественные радионуклиды.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 ним относятся указанные выше космогенные радионуклиды, главным образом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3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Н,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7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Ве,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|4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С,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22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Na,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24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Na и радионуклиды, присутствующие в объектах окружающей среды с момента образования Земли (включая их дочерние продукты распада). Основным источником облучения человека и загрязнения пищевых продуктов являются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40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К,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238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U,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232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Th - радио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нуклиды земного происхождения.</w:t>
      </w:r>
    </w:p>
    <w:p w14:paraId="12A020EE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настоящее время накоплен большой материал о содержании естествен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ных радионуклидов в объектах окружающей среды, включая организм человека,</w:t>
      </w:r>
    </w:p>
    <w:p w14:paraId="241C03A2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продовольственное сырье и пищевые продукты. Естественный радиационный фон постоянно изменяется вследствие неугомонной деятельности человека, распространения технологий переработки природных продуктов, содержащих радионуклиды.</w:t>
      </w:r>
    </w:p>
    <w:p w14:paraId="61C42807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Искусственные радионуклиды.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Испытание ядерного оружия - один из самых опасных источников радиоактивного загрязнения окружающей среды. 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Образующиеся при делении радионуклиды проникают в организм человека через вдыхание зараженного воздуха, употребление в пищу загрязненных про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oftHyphen/>
        <w:t>дуктов, в результате человек подвергается внутреннему облучению; через воздействие на кожу радиоактивных веществ, находящихся в воздухе и на поверхности Земли, - внешнему облучению.</w:t>
      </w:r>
    </w:p>
    <w:p w14:paraId="3D408E01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Научный комитет ООН по действию атомной радиации определяет 21 наиболее распространенный радионуклид, 8 из которых составляют основную дозу Внутреннего облучения населения: углерод-14 (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14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С); цезий-137 (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137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Cs); стронций-90 (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90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Sr); рутений-106 (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106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Ru); церий-144 (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144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Се); водород-3 (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3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Н); йод-131 (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I3I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J); (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95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Zr). Доза внешнего облучения формируется в основном за счет радионуклидов: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95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Zr, его дочернего радионуклида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95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Nb,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l06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Ru,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IO3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Ru,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140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Ba,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137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Cs.</w:t>
      </w:r>
    </w:p>
    <w:p w14:paraId="709480B2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последнее время становится актуальной проблема радона, который образуется при естественном радиоактивном распаде радия. Радиоактивность радона в наружном воздухе обычно составляет 1-20, достигая в горных районах до 60 Бк/м и более, в воздухе жилых помещений порядка 50, в отдельных случаях до нескольких тысяч беккерелей на 1 м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3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C1A1FAF" w14:textId="77777777" w:rsidR="000933B4" w:rsidRPr="0068685C" w:rsidRDefault="000933B4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Таблица 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Природные источники ионизирующего излучения</w:t>
      </w:r>
    </w:p>
    <w:p w14:paraId="5785CB9D" w14:textId="77777777" w:rsidR="000933B4" w:rsidRPr="0068685C" w:rsidRDefault="000933B4" w:rsidP="0068685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68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D4C59D" wp14:editId="55620989">
            <wp:extent cx="4467027" cy="2362200"/>
            <wp:effectExtent l="0" t="0" r="0" b="0"/>
            <wp:docPr id="9357564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7564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71473" cy="236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EEBA2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 xml:space="preserve">Показано, что у населения, проживающего на территориях, прилегающих к указанным предприятиям, возможно повышение поступления радионуклидов с рационом. Основной вклад в суммарное поступление осуществляется за счет овощной продукции (капусты и картофеля). Для воды </w:t>
      </w:r>
      <w:r w:rsidRPr="0068685C">
        <w:rPr>
          <w:color w:val="000000"/>
          <w:sz w:val="28"/>
          <w:szCs w:val="28"/>
        </w:rPr>
        <w:lastRenderedPageBreak/>
        <w:t>водоемов-охладителей определены контрольные концентрации радионуклидов, содержание которых необходимо регламентировать в целях обеспечения радиационной безопасности жидких сбросов и предотвращения загрязнения продуктов питания.</w:t>
      </w:r>
    </w:p>
    <w:p w14:paraId="4B82968B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Авария на Чернобыльской АЭС показывает интенсивную биогенную миграцию радионуклидов цезия и стронция, которая обусловливает высокие уровни поступления их в организм человека (о допустимых уровнях см. табл. 42). При этом важно отметить, что в продуктах животноводства радионуклидов содержится на 2—4 порядка меньше, чем в продукции растениеводства, т. е. если популяционную дозу при потреблении молока принять за 1, то коллек</w:t>
      </w:r>
      <w:r w:rsidRPr="0068685C">
        <w:rPr>
          <w:color w:val="000000"/>
          <w:sz w:val="28"/>
          <w:szCs w:val="28"/>
        </w:rPr>
        <w:softHyphen/>
        <w:t>тивная доза при потреблении овощей и корнеплодов составит 1000. Это опре</w:t>
      </w:r>
      <w:r w:rsidRPr="0068685C">
        <w:rPr>
          <w:color w:val="000000"/>
          <w:sz w:val="28"/>
          <w:szCs w:val="28"/>
        </w:rPr>
        <w:softHyphen/>
        <w:t>деляет поиск профилактических путей снижения облучения за счет целевой оптимизации структуры сельскохозяйственного производства.</w:t>
      </w:r>
    </w:p>
    <w:p w14:paraId="6BD63387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За всю свою жизнь человек получает дозу облучения от природных источ</w:t>
      </w:r>
      <w:r w:rsidRPr="0068685C">
        <w:rPr>
          <w:color w:val="000000"/>
          <w:sz w:val="28"/>
          <w:szCs w:val="28"/>
        </w:rPr>
        <w:softHyphen/>
        <w:t xml:space="preserve">ников на уровне 250-400 </w:t>
      </w:r>
      <w:proofErr w:type="spellStart"/>
      <w:r w:rsidRPr="0068685C">
        <w:rPr>
          <w:color w:val="000000"/>
          <w:sz w:val="28"/>
          <w:szCs w:val="28"/>
        </w:rPr>
        <w:t>мбэр</w:t>
      </w:r>
      <w:proofErr w:type="spellEnd"/>
      <w:r w:rsidRPr="0068685C">
        <w:rPr>
          <w:color w:val="000000"/>
          <w:sz w:val="28"/>
          <w:szCs w:val="28"/>
        </w:rPr>
        <w:t>, что является обычным при нормальном состоя</w:t>
      </w:r>
      <w:r w:rsidRPr="0068685C">
        <w:rPr>
          <w:color w:val="000000"/>
          <w:sz w:val="28"/>
          <w:szCs w:val="28"/>
        </w:rPr>
        <w:softHyphen/>
        <w:t>нии среды обитания. Облучение в 10 рад не вызывает каких-либо изменений в органах и тканях человека. Незначительные изменения в составе крови наблюдаются при однократных дозах 25-75 рад, лучевая болезнь - при облучении более 100 рад.</w:t>
      </w:r>
    </w:p>
    <w:p w14:paraId="1383A480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Попадая в организм человека, радиоактивные элементы распределяются в органах, тканях и в неодинаковой степени выводятся из организма.</w:t>
      </w:r>
    </w:p>
    <w:p w14:paraId="3C4A900D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 xml:space="preserve">Важный фактор предотвращения накопления радионуклидов в организме людей, работающих или проживающих на территориях, загрязненных аварийными выбросами, </w:t>
      </w:r>
      <w:proofErr w:type="gramStart"/>
      <w:r w:rsidRPr="0068685C">
        <w:rPr>
          <w:color w:val="000000"/>
          <w:sz w:val="28"/>
          <w:szCs w:val="28"/>
        </w:rPr>
        <w:t>- это</w:t>
      </w:r>
      <w:proofErr w:type="gramEnd"/>
      <w:r w:rsidRPr="0068685C">
        <w:rPr>
          <w:color w:val="000000"/>
          <w:sz w:val="28"/>
          <w:szCs w:val="28"/>
        </w:rPr>
        <w:t xml:space="preserve"> употребление определенных пищевых продуктов и их отдельных компонентов. Особенно это касается защиты организма от долгоживущих радионуклидов (например стронций-90), которые способны мигрировать по пищевым цепям, накапливаться в органах и тканях, подвергать хроническому облучению костный мозг и костную ткань, повышая риск развития злокачест</w:t>
      </w:r>
      <w:r w:rsidRPr="0068685C">
        <w:rPr>
          <w:color w:val="000000"/>
          <w:sz w:val="28"/>
          <w:szCs w:val="28"/>
        </w:rPr>
        <w:softHyphen/>
        <w:t xml:space="preserve">венных новообразований. Установлено, что </w:t>
      </w:r>
      <w:r w:rsidRPr="0068685C">
        <w:rPr>
          <w:color w:val="000000"/>
          <w:sz w:val="28"/>
          <w:szCs w:val="28"/>
        </w:rPr>
        <w:lastRenderedPageBreak/>
        <w:t>обогащение рациона рыбной мас</w:t>
      </w:r>
      <w:r w:rsidRPr="0068685C">
        <w:rPr>
          <w:color w:val="000000"/>
          <w:sz w:val="28"/>
          <w:szCs w:val="28"/>
        </w:rPr>
        <w:softHyphen/>
        <w:t>сой, кальцием, костной мукой, фтором, ламинарией способствует уменьшению риска возникновения онкологических заболеваний. Больший интерес в рассматриваемом вопросе представляют неусвояемые углеводы, которые применяют для обогащения пищевых продуктов лечебно-профилактического назна</w:t>
      </w:r>
      <w:r w:rsidRPr="0068685C">
        <w:rPr>
          <w:color w:val="000000"/>
          <w:sz w:val="28"/>
          <w:szCs w:val="28"/>
        </w:rPr>
        <w:softHyphen/>
        <w:t>чения. Немаловажное значение в профилактике радиоактивного воздействия имеет /3-каротин и пищевые продукты с высоким содержанием этого про</w:t>
      </w:r>
      <w:r w:rsidRPr="0068685C">
        <w:rPr>
          <w:color w:val="000000"/>
          <w:sz w:val="28"/>
          <w:szCs w:val="28"/>
        </w:rPr>
        <w:softHyphen/>
        <w:t>витамина.</w:t>
      </w:r>
    </w:p>
    <w:p w14:paraId="13851C7D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Полимерные материалы, контактирующие с продуктами питания, должны обладать необходимыми эксплуатационными свойствами и соответствовать гигиеническим требованиям. Эксплуатационные свойства (химическая стойкость, проницаемость и т. д.) зависят от назначения пищевого продукта, условий эксплуатации упаковки или оборудования. Гигиенические требования разрабатываются и утверждаются органами Госсанэпиднадзора в результате токсиколо</w:t>
      </w:r>
      <w:r w:rsidRPr="0068685C">
        <w:rPr>
          <w:color w:val="000000"/>
          <w:sz w:val="28"/>
          <w:szCs w:val="28"/>
        </w:rPr>
        <w:softHyphen/>
        <w:t>гических и других специальных исследований.</w:t>
      </w:r>
    </w:p>
    <w:p w14:paraId="74A2B21C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Использование полимерных и других материалов в качестве упаковки направлено на решение следующих задач:</w:t>
      </w:r>
    </w:p>
    <w:p w14:paraId="2097E00C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обеспечение возможности расфасовки и транспортировки продуктов;</w:t>
      </w:r>
    </w:p>
    <w:p w14:paraId="7D7AFA35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защита от воздействия окружающей среды, болезнетворных и вредных микроорганизмов;</w:t>
      </w:r>
    </w:p>
    <w:p w14:paraId="71DDB8E3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сохранение питательной ценности продукта;</w:t>
      </w:r>
    </w:p>
    <w:p w14:paraId="620AE38F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увеличение срока его годности и т. д.</w:t>
      </w:r>
    </w:p>
    <w:p w14:paraId="56C8D1F8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При этом материалы не должны изменять органолептических свойств продукта и, как это было сказано выше, выделять химические вещества, оказывающие в определенных количествах вредное воздействие на организм чело</w:t>
      </w:r>
      <w:r w:rsidRPr="0068685C">
        <w:rPr>
          <w:color w:val="000000"/>
          <w:sz w:val="28"/>
          <w:szCs w:val="28"/>
        </w:rPr>
        <w:softHyphen/>
        <w:t>века. Добавки и низкомолекулярные примеси химически не связаны с поли</w:t>
      </w:r>
      <w:r w:rsidRPr="0068685C">
        <w:rPr>
          <w:color w:val="000000"/>
          <w:sz w:val="28"/>
          <w:szCs w:val="28"/>
        </w:rPr>
        <w:softHyphen/>
        <w:t xml:space="preserve">мером, поэтому, при определенных условиях, они легко переходят в продукты питания и могут неблагоприятно влиять на здоровье человека. В рецептуру полимерного или другого материала не должны входить вещества, </w:t>
      </w:r>
      <w:r w:rsidRPr="0068685C">
        <w:rPr>
          <w:color w:val="000000"/>
          <w:sz w:val="28"/>
          <w:szCs w:val="28"/>
        </w:rPr>
        <w:lastRenderedPageBreak/>
        <w:t>обладающие токсичностью. Список таких веществ определяется службой Госсанэпиднадзора.</w:t>
      </w:r>
    </w:p>
    <w:p w14:paraId="661049BB" w14:textId="71DBB899" w:rsidR="000933B4" w:rsidRPr="0068685C" w:rsidRDefault="000933B4" w:rsidP="0068685C">
      <w:pPr>
        <w:pStyle w:val="ac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Добавки подразделяются на допустимые и недопустимые в зависимости от биологической активности, степени миграции из полимерных материалов, опасности вредного влияния на организм. Использование добавок регламентируется гигиеническими нормативами, определенными в токсикологическом эксперименте. Такими нормативами являются: ДКМ -допустимое количество миграции, ДМ - максимально допустимая суточная доза.</w:t>
      </w:r>
    </w:p>
    <w:p w14:paraId="347776E1" w14:textId="77777777" w:rsidR="009714DF" w:rsidRPr="0068685C" w:rsidRDefault="009714DF" w:rsidP="0068685C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Диоксины и </w:t>
      </w:r>
      <w:proofErr w:type="spellStart"/>
      <w:r w:rsidRPr="006868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диоксинподобные</w:t>
      </w:r>
      <w:proofErr w:type="spellEnd"/>
      <w:r w:rsidRPr="006868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соединения</w:t>
      </w:r>
    </w:p>
    <w:p w14:paraId="66186490" w14:textId="77777777" w:rsidR="009714DF" w:rsidRPr="0068685C" w:rsidRDefault="009714DF" w:rsidP="0068685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0D6C573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>Диоксины — высокотоксичные соединения, обладающие мутагенными, канцерогенными и тератогенными свойствами. Они представляют реальную угрозу загрязнения пищевых продуктов, включая воду.</w:t>
      </w:r>
    </w:p>
    <w:p w14:paraId="285FB4DA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>Диоксины являются побочными продуктами производства пластмасс, пестицидов, бумаги, дефолиантов.1 В ходе вьетнамской войны (1962— 1971 гг.) самолетами американских ВВС было распылено на территории Южного Вьетнама 57 тысяч тонн дефолианта — «оранжевого реагента», в котором в виде примеси содержалось 170 кг диоксина (т. е. 0,0003%); в результате у участников этих событий были отмечены многочисленные заболевания, в том числе и онкологические. Именно последствия этой войны привели к пониманию той грозной опасности, какой являются диоксины для всего человечества.</w:t>
      </w:r>
    </w:p>
    <w:p w14:paraId="2044BBFD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Диоксины обнаружены в составе отходов металлургии, деревообрабатывающей и целлюлозно-бумажной промышленности. Они образуются при уничтожении отходов в мусоросжигательных печах, на тепловых электростанциях; присутствуют в выхлопных газах автомобилей, при горении синтетических покрытий и масла, на городских свалках, т. е. практически везде, где ионы хлора (брома) или их сочетания взаимодействуют </w:t>
      </w:r>
      <w:r w:rsidRPr="0068685C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активным углеродом в кислой среде. Таким образом, проблема диоксинов приобрела глобальный характер.</w:t>
      </w:r>
    </w:p>
    <w:p w14:paraId="07ECAD48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>Группа диоксинов объединяет сотни веществ, каждое из которых содержит специфическую гетероциклическую структуру с атомами хлора (брома) в качестве заместителей. Структура 2,3,7,8-тетрахлордибензо-пара-диоксина (ТХДД) включает два ароматических кольца, связанных между собой двумя кислородными мостиками:</w:t>
      </w:r>
    </w:p>
    <w:p w14:paraId="79D0739A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>1 Дефолианты — химические вещества и препараты, вызывающие опадение листьев у растений; применяются для предуборочного удаления листьев, с целью облегчения механизированной уборки урожая.</w:t>
      </w:r>
    </w:p>
    <w:p w14:paraId="199C7F4E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ТХДД — так называемый классический диоксин, действие которого сильнее цианидов, стрихнина, зомана, зарина, VX-газа. ТХДД выбран за эталон </w:t>
      </w:r>
      <w:proofErr w:type="spellStart"/>
      <w:r w:rsidRPr="0068685C">
        <w:rPr>
          <w:rFonts w:ascii="Times New Roman" w:hAnsi="Times New Roman" w:cs="Times New Roman"/>
          <w:color w:val="000000"/>
          <w:sz w:val="28"/>
          <w:szCs w:val="28"/>
        </w:rPr>
        <w:t>онкотоксичности</w:t>
      </w:r>
      <w:proofErr w:type="spellEnd"/>
      <w:r w:rsidRPr="0068685C">
        <w:rPr>
          <w:rFonts w:ascii="Times New Roman" w:hAnsi="Times New Roman" w:cs="Times New Roman"/>
          <w:color w:val="000000"/>
          <w:sz w:val="28"/>
          <w:szCs w:val="28"/>
        </w:rPr>
        <w:t>, отличается высокой стабильностью, не поддается гидролизу и окислению, устойчив к высокой температуре (разлагается лишь при 750°С), устойчив к действию кислот и щелочей, не воспламеняем, хорошо растворим в органических растворителях.</w:t>
      </w:r>
    </w:p>
    <w:p w14:paraId="79D53A4A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>Структура 2,3,7,8-тетрахлордибензофурана (ТХДФ) также содержит два ароматических кольца, но связаны они одним кислородным мостиком:</w:t>
      </w:r>
    </w:p>
    <w:p w14:paraId="29714A85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>Кроме этих двух основных соединений возможны различные сочетания. Например</w:t>
      </w:r>
    </w:p>
    <w:p w14:paraId="33A01BFA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>В родственных полихлорированных бифенилах два ароматических кольца связаны обычной химической связью:</w:t>
      </w:r>
    </w:p>
    <w:p w14:paraId="3D2FFF0F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под диоксинами следует понимать не какое-либо конкретное вещество, а несколько десятков семейств, включающих </w:t>
      </w:r>
      <w:proofErr w:type="spellStart"/>
      <w:r w:rsidRPr="0068685C">
        <w:rPr>
          <w:rFonts w:ascii="Times New Roman" w:hAnsi="Times New Roman" w:cs="Times New Roman"/>
          <w:color w:val="000000"/>
          <w:sz w:val="28"/>
          <w:szCs w:val="28"/>
        </w:rPr>
        <w:t>трици-клические</w:t>
      </w:r>
      <w:proofErr w:type="spellEnd"/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 кислородсодержащие ксенобиотики, а также семейство бифенилов, не содержащих атомы кислорода. Это 75 полихлорированных </w:t>
      </w:r>
      <w:proofErr w:type="spellStart"/>
      <w:r w:rsidRPr="0068685C">
        <w:rPr>
          <w:rFonts w:ascii="Times New Roman" w:hAnsi="Times New Roman" w:cs="Times New Roman"/>
          <w:color w:val="000000"/>
          <w:sz w:val="28"/>
          <w:szCs w:val="28"/>
        </w:rPr>
        <w:t>дибензодиоксинов</w:t>
      </w:r>
      <w:proofErr w:type="spellEnd"/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, 135 полихлорированных </w:t>
      </w:r>
      <w:proofErr w:type="spellStart"/>
      <w:r w:rsidRPr="0068685C">
        <w:rPr>
          <w:rFonts w:ascii="Times New Roman" w:hAnsi="Times New Roman" w:cs="Times New Roman"/>
          <w:color w:val="000000"/>
          <w:sz w:val="28"/>
          <w:szCs w:val="28"/>
        </w:rPr>
        <w:t>дибензофуранов</w:t>
      </w:r>
      <w:proofErr w:type="spellEnd"/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, 210 веществ из </w:t>
      </w:r>
      <w:proofErr w:type="spellStart"/>
      <w:r w:rsidRPr="0068685C">
        <w:rPr>
          <w:rFonts w:ascii="Times New Roman" w:hAnsi="Times New Roman" w:cs="Times New Roman"/>
          <w:color w:val="000000"/>
          <w:sz w:val="28"/>
          <w:szCs w:val="28"/>
        </w:rPr>
        <w:t>броморганических</w:t>
      </w:r>
      <w:proofErr w:type="spellEnd"/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 семейств, несколько тысяч смешанных бром-и хлорсодержащих соединений. Нельзя забывать и об изомерии: наряду с ТХДД существует 22 изомера, для ТХДФ — 38 изомеров.</w:t>
      </w:r>
    </w:p>
    <w:p w14:paraId="7368CD4C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попадании в окружающую среду диоксины интенсивно накапливаются в почве, водоемах, активно мигрируют по пищевым цепям.</w:t>
      </w:r>
    </w:p>
    <w:p w14:paraId="69028BA1" w14:textId="0882F66E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8685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348E1D" wp14:editId="323CB232">
            <wp:extent cx="4590476" cy="5247619"/>
            <wp:effectExtent l="0" t="0" r="635" b="0"/>
            <wp:docPr id="12152776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27766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90476" cy="52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A4B28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>В организм человека диоксины попадают в основном с пищей. Среди основных продуктов опасные концентрации диоксинов обнаруживают в животных жирах, в мясе, молочных продуктах, рыбе (содержание диоксина будет определяться жирностью этих продуктов, т. к. диоксины — жирорастворимые соединения). В коровьем молоке содержание диоксинов в 40—200 раз превышает их наличие в тканях животного. Источниками диоксинов могут быть и корнеплоды (картофель, морковь и другие).</w:t>
      </w:r>
    </w:p>
    <w:p w14:paraId="0791FEA6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Для диоксинов не существует таких норм как ПДК — эти вещества токсичны при любых концентрациях, меняются лишь формы ее проявления. Диоксины обладают широким спектром биологического действия на человека и животного. В малых дозах вызывают мутагенный эффект, отличаются </w:t>
      </w:r>
      <w:r w:rsidRPr="0068685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кумулятивными свойствами, ингибирующим или индуцирующим действием на различные ферментные системы организма. Их опасность очень велика и не случайно диоксины и </w:t>
      </w:r>
      <w:proofErr w:type="spellStart"/>
      <w:r w:rsidRPr="0068685C">
        <w:rPr>
          <w:rFonts w:ascii="Times New Roman" w:hAnsi="Times New Roman" w:cs="Times New Roman"/>
          <w:color w:val="000000"/>
          <w:sz w:val="28"/>
          <w:szCs w:val="28"/>
        </w:rPr>
        <w:t>диоксинподобные</w:t>
      </w:r>
      <w:proofErr w:type="spellEnd"/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 соединения относят к группе суперэкотоксикантов.</w:t>
      </w:r>
    </w:p>
    <w:p w14:paraId="46E6898B" w14:textId="77777777" w:rsidR="009714DF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В целом, установление санитарных норм по диоксину в различных странах базируется на разных критериях. В Европе как основной принят показатель </w:t>
      </w:r>
      <w:proofErr w:type="spellStart"/>
      <w:r w:rsidRPr="0068685C">
        <w:rPr>
          <w:rFonts w:ascii="Times New Roman" w:hAnsi="Times New Roman" w:cs="Times New Roman"/>
          <w:color w:val="000000"/>
          <w:sz w:val="28"/>
          <w:szCs w:val="28"/>
        </w:rPr>
        <w:t>онкогенности</w:t>
      </w:r>
      <w:proofErr w:type="spellEnd"/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 (то есть за основу берут возможность возникновения раковых опухолей), в США — показатель </w:t>
      </w:r>
      <w:proofErr w:type="spellStart"/>
      <w:r w:rsidRPr="0068685C">
        <w:rPr>
          <w:rFonts w:ascii="Times New Roman" w:hAnsi="Times New Roman" w:cs="Times New Roman"/>
          <w:color w:val="000000"/>
          <w:sz w:val="28"/>
          <w:szCs w:val="28"/>
        </w:rPr>
        <w:t>иммунотоксичности</w:t>
      </w:r>
      <w:proofErr w:type="spellEnd"/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 (то есть угнетение иммунной системы). Расчет ДСД (допустимой суточной дозы) ведется таким образом, чтобы за 70 лет жизни в организм человека поступило не больше 10 " г/кг в день.</w:t>
      </w:r>
    </w:p>
    <w:p w14:paraId="48C62182" w14:textId="502DEDA3" w:rsidR="004E1B81" w:rsidRPr="0068685C" w:rsidRDefault="009714DF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>В борьбе с диоксинами уже достигнуты определенные успехи. Это произошло благодаря тому, что не только ученые, но и правительства многих стран осознали опасность общепланетарного отравления среды</w:t>
      </w:r>
      <w:r w:rsidR="004E1B81"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E1B81" w:rsidRPr="0068685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диоксинами. Во многих странах мира (и в России в том числе) проводится экологический мониторинг по диоксинам в различных отраслях промышленности. В соответствии с полученными данными решаются вопросы совершенствования тех или иных технологических процессов. В США и в странах Западной Европы ведется кампания за сортировку бытовых отходов, отделение пластмассовых изделий (в Швеции, например, это практикуется уже многие годы). Кроме того, шведам удалось найти способ получения </w:t>
      </w:r>
      <w:proofErr w:type="spellStart"/>
      <w:r w:rsidR="004E1B81" w:rsidRPr="0068685C">
        <w:rPr>
          <w:rFonts w:ascii="Times New Roman" w:hAnsi="Times New Roman" w:cs="Times New Roman"/>
          <w:color w:val="000000"/>
          <w:sz w:val="28"/>
          <w:szCs w:val="28"/>
        </w:rPr>
        <w:t>бездиоксиновой</w:t>
      </w:r>
      <w:proofErr w:type="spellEnd"/>
      <w:r w:rsidR="004E1B81"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 бумаги. В ФРГ, США, Нидерландах, Японии после реконструкции мусоросжигательных заводов удалось свести образование диоксинов до минимума, во Франции разработаны </w:t>
      </w:r>
      <w:proofErr w:type="spellStart"/>
      <w:r w:rsidR="004E1B81" w:rsidRPr="0068685C">
        <w:rPr>
          <w:rFonts w:ascii="Times New Roman" w:hAnsi="Times New Roman" w:cs="Times New Roman"/>
          <w:color w:val="000000"/>
          <w:sz w:val="28"/>
          <w:szCs w:val="28"/>
        </w:rPr>
        <w:t>антидиоксиновые</w:t>
      </w:r>
      <w:proofErr w:type="spellEnd"/>
      <w:r w:rsidR="004E1B81"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 фильтры.</w:t>
      </w:r>
    </w:p>
    <w:p w14:paraId="1545B407" w14:textId="4CB21854" w:rsidR="000933B4" w:rsidRPr="0068685C" w:rsidRDefault="004E1B81" w:rsidP="0068685C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8685C">
        <w:rPr>
          <w:rFonts w:ascii="Times New Roman" w:hAnsi="Times New Roman" w:cs="Times New Roman"/>
          <w:color w:val="000000"/>
          <w:sz w:val="28"/>
          <w:szCs w:val="28"/>
        </w:rPr>
        <w:t xml:space="preserve">В заключение нельзя не отметить явление синергизма — эффекта воздействия, превышающего сумму эффектов воздействия каждого из факторов. Такими синергистами по отношению к диоксину могут являться: радиация, свинец, кадмий, ртуть, нитраты, </w:t>
      </w:r>
      <w:proofErr w:type="spellStart"/>
      <w:r w:rsidRPr="0068685C">
        <w:rPr>
          <w:rFonts w:ascii="Times New Roman" w:hAnsi="Times New Roman" w:cs="Times New Roman"/>
          <w:color w:val="000000"/>
          <w:sz w:val="28"/>
          <w:szCs w:val="28"/>
        </w:rPr>
        <w:t>хлорфенолы</w:t>
      </w:r>
      <w:proofErr w:type="spellEnd"/>
      <w:r w:rsidRPr="0068685C">
        <w:rPr>
          <w:rFonts w:ascii="Times New Roman" w:hAnsi="Times New Roman" w:cs="Times New Roman"/>
          <w:color w:val="000000"/>
          <w:sz w:val="28"/>
          <w:szCs w:val="28"/>
        </w:rPr>
        <w:t>, соединения серы (II).</w:t>
      </w:r>
      <w:r w:rsidR="000933B4" w:rsidRPr="0068685C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14:paraId="53F75F18" w14:textId="77777777" w:rsidR="004E1B81" w:rsidRPr="0068685C" w:rsidRDefault="004E1B81" w:rsidP="0068685C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Полициклические ароматические углеводороды</w:t>
      </w:r>
    </w:p>
    <w:p w14:paraId="54080571" w14:textId="77777777" w:rsidR="004E1B81" w:rsidRPr="0068685C" w:rsidRDefault="004E1B81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2C5A534" w14:textId="77777777" w:rsidR="004E1B81" w:rsidRPr="0068685C" w:rsidRDefault="004E1B81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Полициклические ароматические углеводороды (ПАУ) — насчитывают более 200 представителей, которые являются сильными канцерогенами.</w:t>
      </w:r>
    </w:p>
    <w:p w14:paraId="063C2A62" w14:textId="77777777" w:rsidR="004E1B81" w:rsidRPr="0068685C" w:rsidRDefault="004E1B81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 наиболее активным канцерогенам относят 3,4-бенз(а)пирен, который был идентифицирован в 1933 г. как канцерогенный компонент сажи и смолы, а также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холантрен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перилен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и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дибенз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(а)пирен.</w:t>
      </w:r>
    </w:p>
    <w:p w14:paraId="2D5A8EA0" w14:textId="2BF0B68F" w:rsidR="004E1B81" w:rsidRPr="0068685C" w:rsidRDefault="004E1B81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Ниже приведены структурные формулы наиболее канцерогенных ПАУ.</w:t>
      </w:r>
    </w:p>
    <w:p w14:paraId="0AD9A6D6" w14:textId="4D396F9C" w:rsidR="004E1B81" w:rsidRPr="0068685C" w:rsidRDefault="004E1B81" w:rsidP="0068685C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729CE1C" wp14:editId="5C8B6EA7">
            <wp:extent cx="5131981" cy="1219200"/>
            <wp:effectExtent l="0" t="0" r="0" b="0"/>
            <wp:docPr id="3474508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727" cy="12198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A6A2CA" w14:textId="77777777" w:rsidR="004E1B81" w:rsidRPr="0068685C" w:rsidRDefault="004E1B81" w:rsidP="006868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 малотоксичным ПАУ относят антрацен, фенантрен, пирен,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флуо-рантен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структурные формулы которых представлены ниже.</w:t>
      </w:r>
    </w:p>
    <w:p w14:paraId="67BFFEEB" w14:textId="77777777" w:rsidR="004E1B81" w:rsidRPr="0068685C" w:rsidRDefault="004E1B81" w:rsidP="0068685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Канцерогенная активность реальных сочетаний полициклических ароматических углеводородов на 70-80% обусловлена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бенз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(а)пиреном. Поэтому по присутствию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бенз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(а)пирена в пищевых продуктах и других объектах можно судить об уровне их загрязнения ПАУ и степени </w:t>
      </w:r>
      <w:proofErr w:type="spellStart"/>
      <w:proofErr w:type="gram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онко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-генной</w:t>
      </w:r>
      <w:proofErr w:type="gram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опасности для человека.</w:t>
      </w:r>
    </w:p>
    <w:p w14:paraId="4BA35E8D" w14:textId="77777777" w:rsidR="004E1B81" w:rsidRPr="0068685C" w:rsidRDefault="004E1B81" w:rsidP="006868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Канцерогенные ПАУ образуются в природе путем абиогенных процессов; ежегодно в биосферу поступают тысячи тонн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бенз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(а)пирена природного происхождения. Еще больше — за счет техногенных источников. Образуются ПАУ в процессах сгорания нефтепродуктов, угля, дерева, мусора, пищи, табака, причем, чем ниже температура, тем больше образуется ПАУ.</w:t>
      </w:r>
    </w:p>
    <w:p w14:paraId="556F379D" w14:textId="77777777" w:rsidR="004E1B81" w:rsidRPr="0068685C" w:rsidRDefault="004E1B81" w:rsidP="006868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 пищевом сырье, полученном из экологически чистых растений, концентрация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бенз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(а)пирена 0,03-1,0 мкг/кг. Условия термической обработки значительно увеличивают его содержание до 50 мкг/кг и более. Полимерные упаковочные материалы могут играть немаловажную роль в загрязнении пищевых продуктов ПАУ, например, жир молока экстрагирует до 95%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бенз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(а)пирена из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парафинобумажных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пакетов или стаканчиков. Высока концентрация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бенз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(а)пирена и в табачном дыме.</w:t>
      </w:r>
    </w:p>
    <w:p w14:paraId="26B56D8F" w14:textId="77777777" w:rsidR="004E1B81" w:rsidRPr="0068685C" w:rsidRDefault="004E1B81" w:rsidP="006868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 пищей взрослый человек получает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бенз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(а)пирена 0,006 мг/год. В интенсивно загрязненных районах эта доза возрастает в 5 и более раз. ПДК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бенз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(а)пирена в атмосферном воздухе — 0,1 мкг/100 м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vertAlign w:val="superscript"/>
          <w:lang w:eastAsia="ru-RU"/>
          <w14:ligatures w14:val="none"/>
        </w:rPr>
        <w:t>3</w:t>
      </w: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, в воде водоемов — 0,005 мг/л, в почве — 0,2 мг/кг. Содержание 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бенз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(а)пирена (в мкг/кг) в различных пищевых продуктах (</w:t>
      </w:r>
      <w:proofErr w:type="spell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Габович</w:t>
      </w:r>
      <w:proofErr w:type="spell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Р. Д., Припутана Л.С., 1988) представлено ниже:</w:t>
      </w:r>
    </w:p>
    <w:p w14:paraId="1938D387" w14:textId="77777777" w:rsidR="004E1B81" w:rsidRPr="0068685C" w:rsidRDefault="004E1B81" w:rsidP="0068685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Свинина </w:t>
      </w:r>
      <w:proofErr w:type="gramStart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свежая</w:t>
      </w:r>
      <w:proofErr w:type="gramEnd"/>
      <w:r w:rsidRPr="0068685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Не обнаружено Жареная телятина 0,18-0,63</w:t>
      </w:r>
    </w:p>
    <w:p w14:paraId="303B3781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Овощи Соки консервированные:</w:t>
      </w:r>
    </w:p>
    <w:p w14:paraId="6ACD28A7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Свекла 39-7771 плодово-ягодные 0-56</w:t>
      </w:r>
    </w:p>
    <w:p w14:paraId="5B9D71DF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 xml:space="preserve">Репа 82-5429 </w:t>
      </w:r>
      <w:proofErr w:type="gramStart"/>
      <w:r w:rsidRPr="0068685C">
        <w:rPr>
          <w:color w:val="000000"/>
          <w:sz w:val="28"/>
          <w:szCs w:val="28"/>
        </w:rPr>
        <w:t>плодово-овощные</w:t>
      </w:r>
      <w:proofErr w:type="gramEnd"/>
      <w:r w:rsidRPr="0068685C">
        <w:rPr>
          <w:color w:val="000000"/>
          <w:sz w:val="28"/>
          <w:szCs w:val="28"/>
        </w:rPr>
        <w:t xml:space="preserve"> 29-64</w:t>
      </w:r>
    </w:p>
    <w:p w14:paraId="422664BC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овощные 10—108</w:t>
      </w:r>
    </w:p>
    <w:p w14:paraId="55F34947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Редис 41-4527</w:t>
      </w:r>
    </w:p>
    <w:p w14:paraId="714EFF7B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Редька 98-2731 Фрукты и ягоды</w:t>
      </w:r>
    </w:p>
    <w:p w14:paraId="7EAC17F4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Капуста свежая: Яблоки 2,7-55,0</w:t>
      </w:r>
    </w:p>
    <w:p w14:paraId="2B1FD8AA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ранняя 509-1010 Груши 1,5-6,5</w:t>
      </w:r>
    </w:p>
    <w:p w14:paraId="7FC7B052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поздняя 14—3467 Слива 2,5—3,1</w:t>
      </w:r>
    </w:p>
    <w:p w14:paraId="2AC42D55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Картофель 4-1218 Хурма 2,9-4,3</w:t>
      </w:r>
    </w:p>
    <w:p w14:paraId="430BCCF4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Морковь 15-900 Облепиха 1,9-2,5</w:t>
      </w:r>
    </w:p>
    <w:p w14:paraId="36C27386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Огурцы: Клюква 2,5-3,3</w:t>
      </w:r>
    </w:p>
    <w:p w14:paraId="5CD6AF13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закрытый грунт 67-765 Черника 2,6-4,0</w:t>
      </w:r>
    </w:p>
    <w:p w14:paraId="33074C1D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открытый грунт 48-258 Брусника 3,1-4,5</w:t>
      </w:r>
    </w:p>
    <w:p w14:paraId="39FFB0B4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Кабачки 291-672</w:t>
      </w:r>
      <w:r w:rsidRPr="0068685C">
        <w:rPr>
          <w:color w:val="000000"/>
          <w:sz w:val="28"/>
          <w:szCs w:val="28"/>
          <w:vertAlign w:val="superscript"/>
        </w:rPr>
        <w:t> </w:t>
      </w:r>
      <w:r w:rsidRPr="0068685C">
        <w:rPr>
          <w:color w:val="000000"/>
          <w:sz w:val="28"/>
          <w:szCs w:val="28"/>
        </w:rPr>
        <w:t>Рябина черноплодная</w:t>
      </w:r>
      <w:proofErr w:type="gramStart"/>
      <w:r w:rsidRPr="0068685C">
        <w:rPr>
          <w:color w:val="000000"/>
          <w:sz w:val="28"/>
          <w:szCs w:val="28"/>
        </w:rPr>
        <w:t xml:space="preserve"> ..</w:t>
      </w:r>
      <w:proofErr w:type="gramEnd"/>
      <w:r w:rsidRPr="0068685C">
        <w:rPr>
          <w:color w:val="000000"/>
          <w:sz w:val="28"/>
          <w:szCs w:val="28"/>
        </w:rPr>
        <w:t xml:space="preserve"> 2,6-3,0</w:t>
      </w:r>
    </w:p>
    <w:p w14:paraId="212ABDC3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Перец сладкий 10—517</w:t>
      </w:r>
    </w:p>
    <w:p w14:paraId="7FBEA98B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Томаты 3-365 Молочные продукты</w:t>
      </w:r>
    </w:p>
    <w:p w14:paraId="507B332E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Баклажаны 42-284 Молоко</w:t>
      </w:r>
    </w:p>
    <w:p w14:paraId="216744F4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пастеризованное .... 1,1—14,0</w:t>
      </w:r>
    </w:p>
    <w:p w14:paraId="11CD04EF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Капуста квашеная 46—320</w:t>
      </w:r>
    </w:p>
    <w:p w14:paraId="0142F276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Кисломолочные</w:t>
      </w:r>
    </w:p>
    <w:p w14:paraId="005C3DBC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Огурцы соленые 83-120 продукты 0,5-6,0</w:t>
      </w:r>
    </w:p>
    <w:p w14:paraId="6DB916DC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lastRenderedPageBreak/>
        <w:t>Лук репчатый 0-150 Творожные изделия .... 1,5-6,5</w:t>
      </w:r>
    </w:p>
    <w:p w14:paraId="70AED8C9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Укроп 30-4074 </w:t>
      </w:r>
      <w:r w:rsidRPr="0068685C">
        <w:rPr>
          <w:color w:val="000000"/>
          <w:sz w:val="28"/>
          <w:szCs w:val="28"/>
          <w:vertAlign w:val="subscript"/>
        </w:rPr>
        <w:t>Молоко</w:t>
      </w:r>
      <w:r w:rsidRPr="0068685C">
        <w:rPr>
          <w:color w:val="000000"/>
          <w:sz w:val="28"/>
          <w:szCs w:val="28"/>
        </w:rPr>
        <w:t> </w:t>
      </w:r>
      <w:r w:rsidRPr="0068685C">
        <w:rPr>
          <w:i/>
          <w:iCs/>
          <w:color w:val="000000"/>
          <w:sz w:val="28"/>
          <w:szCs w:val="28"/>
          <w:vertAlign w:val="subscript"/>
        </w:rPr>
        <w:t>сухое&gt;</w:t>
      </w:r>
      <w:r w:rsidRPr="0068685C">
        <w:rPr>
          <w:i/>
          <w:iCs/>
          <w:color w:val="000000"/>
          <w:sz w:val="28"/>
          <w:szCs w:val="28"/>
        </w:rPr>
        <w:t> </w:t>
      </w:r>
      <w:r w:rsidRPr="0068685C">
        <w:rPr>
          <w:color w:val="000000"/>
          <w:sz w:val="28"/>
          <w:szCs w:val="28"/>
        </w:rPr>
        <w:t>цельное</w:t>
      </w:r>
      <w:proofErr w:type="gramStart"/>
      <w:r w:rsidRPr="0068685C">
        <w:rPr>
          <w:color w:val="000000"/>
          <w:sz w:val="28"/>
          <w:szCs w:val="28"/>
        </w:rPr>
        <w:t xml:space="preserve"> ..</w:t>
      </w:r>
      <w:proofErr w:type="gramEnd"/>
      <w:r w:rsidRPr="0068685C">
        <w:rPr>
          <w:color w:val="000000"/>
          <w:sz w:val="28"/>
          <w:szCs w:val="28"/>
        </w:rPr>
        <w:t xml:space="preserve"> 1,0-35</w:t>
      </w:r>
    </w:p>
    <w:p w14:paraId="7EBF89E2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Петрушка 388-2022 </w:t>
      </w:r>
      <w:r w:rsidRPr="0068685C">
        <w:rPr>
          <w:color w:val="000000"/>
          <w:sz w:val="28"/>
          <w:szCs w:val="28"/>
          <w:vertAlign w:val="subscript"/>
        </w:rPr>
        <w:t>Сыры 15</w:t>
      </w:r>
      <w:r w:rsidRPr="0068685C">
        <w:rPr>
          <w:color w:val="000000"/>
          <w:sz w:val="28"/>
          <w:szCs w:val="28"/>
        </w:rPr>
        <w:t>_</w:t>
      </w:r>
      <w:r w:rsidRPr="0068685C">
        <w:rPr>
          <w:color w:val="000000"/>
          <w:sz w:val="28"/>
          <w:szCs w:val="28"/>
          <w:vertAlign w:val="subscript"/>
        </w:rPr>
        <w:t>20</w:t>
      </w:r>
    </w:p>
    <w:p w14:paraId="15198E7A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Лук перо 71-1486</w:t>
      </w:r>
    </w:p>
    <w:p w14:paraId="107B9D0A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Сельдереи 701-968</w:t>
      </w:r>
      <w:r w:rsidRPr="0068685C">
        <w:rPr>
          <w:i/>
          <w:iCs/>
          <w:color w:val="000000"/>
          <w:sz w:val="28"/>
          <w:szCs w:val="28"/>
          <w:vertAlign w:val="subscript"/>
        </w:rPr>
        <w:t> </w:t>
      </w:r>
      <w:r w:rsidRPr="0068685C">
        <w:rPr>
          <w:color w:val="000000"/>
          <w:sz w:val="28"/>
          <w:szCs w:val="28"/>
        </w:rPr>
        <w:t>Мясные продукты</w:t>
      </w:r>
    </w:p>
    <w:p w14:paraId="71443D61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Шпинат …………</w:t>
      </w:r>
      <w:proofErr w:type="gramStart"/>
      <w:r w:rsidRPr="0068685C">
        <w:rPr>
          <w:color w:val="000000"/>
          <w:sz w:val="28"/>
          <w:szCs w:val="28"/>
        </w:rPr>
        <w:t>…….</w:t>
      </w:r>
      <w:proofErr w:type="gramEnd"/>
      <w:r w:rsidRPr="0068685C">
        <w:rPr>
          <w:color w:val="000000"/>
          <w:sz w:val="28"/>
          <w:szCs w:val="28"/>
        </w:rPr>
        <w:t>. 621-241</w:t>
      </w:r>
    </w:p>
    <w:p w14:paraId="61F3ADA5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Кинза 520-1240 Говядина свежая ……</w:t>
      </w:r>
      <w:proofErr w:type="gramStart"/>
      <w:r w:rsidRPr="0068685C">
        <w:rPr>
          <w:color w:val="000000"/>
          <w:sz w:val="28"/>
          <w:szCs w:val="28"/>
        </w:rPr>
        <w:t>…….</w:t>
      </w:r>
      <w:proofErr w:type="gramEnd"/>
      <w:r w:rsidRPr="0068685C">
        <w:rPr>
          <w:color w:val="000000"/>
          <w:sz w:val="28"/>
          <w:szCs w:val="28"/>
        </w:rPr>
        <w:t>0-4,0</w:t>
      </w:r>
    </w:p>
    <w:p w14:paraId="5C597313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Щавель ……………</w:t>
      </w:r>
      <w:proofErr w:type="gramStart"/>
      <w:r w:rsidRPr="0068685C">
        <w:rPr>
          <w:color w:val="000000"/>
          <w:sz w:val="28"/>
          <w:szCs w:val="28"/>
        </w:rPr>
        <w:t>…….</w:t>
      </w:r>
      <w:proofErr w:type="gramEnd"/>
      <w:r w:rsidRPr="0068685C">
        <w:rPr>
          <w:color w:val="000000"/>
          <w:sz w:val="28"/>
          <w:szCs w:val="28"/>
        </w:rPr>
        <w:t>. 53-875</w:t>
      </w:r>
      <w:r w:rsidRPr="0068685C">
        <w:rPr>
          <w:i/>
          <w:iCs/>
          <w:color w:val="000000"/>
          <w:sz w:val="28"/>
          <w:szCs w:val="28"/>
        </w:rPr>
        <w:t> </w:t>
      </w:r>
      <w:r w:rsidRPr="0068685C">
        <w:rPr>
          <w:color w:val="000000"/>
          <w:sz w:val="28"/>
          <w:szCs w:val="28"/>
        </w:rPr>
        <w:t>Сосиски 2,5-3,9</w:t>
      </w:r>
    </w:p>
    <w:p w14:paraId="6EA07B76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Дыня ……………………… 3-120 Колбаса «</w:t>
      </w:r>
      <w:proofErr w:type="gramStart"/>
      <w:r w:rsidRPr="0068685C">
        <w:rPr>
          <w:color w:val="000000"/>
          <w:sz w:val="28"/>
          <w:szCs w:val="28"/>
        </w:rPr>
        <w:t>Докторская» ..</w:t>
      </w:r>
      <w:proofErr w:type="gramEnd"/>
      <w:r w:rsidRPr="0068685C">
        <w:rPr>
          <w:color w:val="000000"/>
          <w:sz w:val="28"/>
          <w:szCs w:val="28"/>
        </w:rPr>
        <w:t xml:space="preserve"> 2,4-5,8</w:t>
      </w:r>
    </w:p>
    <w:p w14:paraId="1DAD5CB9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Арбуз 6-94 Свинина …………………1,4-5,4</w:t>
      </w:r>
    </w:p>
    <w:p w14:paraId="1ECAEC9E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Тыква 14-410 Мясо куриное ……</w:t>
      </w:r>
      <w:proofErr w:type="gramStart"/>
      <w:r w:rsidRPr="0068685C">
        <w:rPr>
          <w:color w:val="000000"/>
          <w:sz w:val="28"/>
          <w:szCs w:val="28"/>
        </w:rPr>
        <w:t>…….</w:t>
      </w:r>
      <w:proofErr w:type="gramEnd"/>
      <w:r w:rsidRPr="0068685C">
        <w:rPr>
          <w:color w:val="000000"/>
          <w:sz w:val="28"/>
          <w:szCs w:val="28"/>
        </w:rPr>
        <w:t>. 2,1—4,0</w:t>
      </w:r>
    </w:p>
    <w:p w14:paraId="69E420D8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Рыба свежая:</w:t>
      </w:r>
    </w:p>
    <w:p w14:paraId="6FCCE831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речная 3—43</w:t>
      </w:r>
    </w:p>
    <w:p w14:paraId="22F484F5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морская 14-21</w:t>
      </w:r>
    </w:p>
    <w:p w14:paraId="199D66E0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Зерно:</w:t>
      </w:r>
    </w:p>
    <w:p w14:paraId="468057DF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мягкой пшеницы 1,2—15</w:t>
      </w:r>
    </w:p>
    <w:p w14:paraId="44B7DE34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твердой пшеницы 1,1-8,4 Макароны 1,5-7,7</w:t>
      </w:r>
    </w:p>
    <w:p w14:paraId="5CD442B6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Мука пшеничная 2,5—19,0 Хлеб:</w:t>
      </w:r>
    </w:p>
    <w:p w14:paraId="56102771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>свежий 1,9-6,7</w:t>
      </w:r>
    </w:p>
    <w:p w14:paraId="44C60666" w14:textId="77777777" w:rsidR="00753008" w:rsidRPr="0068685C" w:rsidRDefault="00753008" w:rsidP="0068685C">
      <w:pPr>
        <w:pStyle w:val="ac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8685C">
        <w:rPr>
          <w:color w:val="000000"/>
          <w:sz w:val="28"/>
          <w:szCs w:val="28"/>
        </w:rPr>
        <w:t xml:space="preserve">Консервы </w:t>
      </w:r>
      <w:proofErr w:type="spellStart"/>
      <w:r w:rsidRPr="0068685C">
        <w:rPr>
          <w:color w:val="000000"/>
          <w:sz w:val="28"/>
          <w:szCs w:val="28"/>
        </w:rPr>
        <w:t>овощемясные</w:t>
      </w:r>
      <w:proofErr w:type="spellEnd"/>
      <w:r w:rsidRPr="0068685C">
        <w:rPr>
          <w:color w:val="000000"/>
          <w:sz w:val="28"/>
          <w:szCs w:val="28"/>
        </w:rPr>
        <w:t xml:space="preserve"> ... 47-320 высушенный 0,9-8,1</w:t>
      </w:r>
    </w:p>
    <w:p w14:paraId="17B41022" w14:textId="77777777" w:rsidR="000933B4" w:rsidRPr="0068685C" w:rsidRDefault="000933B4" w:rsidP="0068685C">
      <w:pPr>
        <w:pStyle w:val="ac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</w:p>
    <w:sectPr w:rsidR="000933B4" w:rsidRPr="00686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B8"/>
    <w:rsid w:val="000933B4"/>
    <w:rsid w:val="004E1B81"/>
    <w:rsid w:val="0068685C"/>
    <w:rsid w:val="00753008"/>
    <w:rsid w:val="00903AB8"/>
    <w:rsid w:val="009714DF"/>
    <w:rsid w:val="00D902A4"/>
    <w:rsid w:val="00DB38A6"/>
    <w:rsid w:val="00F6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8875F"/>
  <w15:chartTrackingRefBased/>
  <w15:docId w15:val="{A5B636C6-023A-4E58-8965-771AAD59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3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3A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3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3A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3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3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3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3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3A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3A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3A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3A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3A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3A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3A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3A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3A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3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3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3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3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3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3A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3A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3A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3A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3A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3AB8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093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2397</Words>
  <Characters>13664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6</cp:revision>
  <dcterms:created xsi:type="dcterms:W3CDTF">2026-05-09T20:20:00Z</dcterms:created>
  <dcterms:modified xsi:type="dcterms:W3CDTF">2026-05-09T20:53:00Z</dcterms:modified>
</cp:coreProperties>
</file>