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A20" w14:textId="255BC212" w:rsidR="009505D1" w:rsidRPr="009505D1" w:rsidRDefault="009505D1" w:rsidP="009505D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9505D1">
        <w:rPr>
          <w:b/>
          <w:bCs/>
        </w:rPr>
        <w:t xml:space="preserve">Лабораторное занятие № </w:t>
      </w:r>
      <w:r w:rsidR="00394B16">
        <w:rPr>
          <w:b/>
          <w:bCs/>
        </w:rPr>
        <w:t>15.</w:t>
      </w:r>
    </w:p>
    <w:p w14:paraId="77A1315F" w14:textId="0A0F26DB" w:rsidR="009505D1" w:rsidRPr="009505D1" w:rsidRDefault="009505D1" w:rsidP="009505D1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9505D1">
        <w:rPr>
          <w:b/>
          <w:bCs/>
        </w:rPr>
        <w:t>Трансгеноз у животных. Содержание занятия: Студенты знакомятся с основными способами внедрения трансгенных конструкций в животные клетки. По индивидуальным заданиям составляют схемы получения трансгенных животных.</w:t>
      </w:r>
    </w:p>
    <w:p w14:paraId="7916CCD0" w14:textId="77777777" w:rsidR="009505D1" w:rsidRDefault="009505D1" w:rsidP="009505D1">
      <w:pPr>
        <w:pStyle w:val="a3"/>
        <w:shd w:val="clear" w:color="auto" w:fill="FFFFFF"/>
        <w:spacing w:before="0" w:beforeAutospacing="0" w:after="150" w:afterAutospacing="0"/>
      </w:pPr>
    </w:p>
    <w:p w14:paraId="427F7FD5" w14:textId="7DEFF1A9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>Трансгенные технологии могут быть использованы для выведения улучшенных пород домашних животных и птиц: коров с более высокой удойностью, овец с качественной шерстью, кур с повышенной яйценоскостью и т.п.</w:t>
      </w:r>
    </w:p>
    <w:p w14:paraId="3057DF9A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>Эксперименты по введению чужеродных генов в клетки млекопитающих и возможность создания генетически идентичных животных путем переноса ядра из эмбриональной клетки в яйцеклетку с удаленным ядром (клонирование) позволили включать в хромосомную ДНК высших животных функциональные гены или их кластеры. Используемая стратегия состоит в следующем:</w:t>
      </w:r>
    </w:p>
    <w:p w14:paraId="3629ECE4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>1. Клонированный ген вводят в ядро оплодотворенной яйцеклетки.</w:t>
      </w:r>
    </w:p>
    <w:p w14:paraId="0171A76C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>2. Инокулированные оплодотворенные яйцеклетки имплантируют в реЦипиентную женскую особь. Успешное завершение развития эмбриона млекопитающих в иных условиях невозможно.</w:t>
      </w:r>
    </w:p>
    <w:p w14:paraId="00307D61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>3. Отбирают потомков, которые развились из имплантированных яйцеклеток и содержат клонированный ген во всех клетках.</w:t>
      </w:r>
    </w:p>
    <w:p w14:paraId="5F46ACFB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>4. Скрещивают животных, которые несут клонированный ген в клетках зародышевой линии и получают новую генетическую линию.</w:t>
      </w:r>
    </w:p>
    <w:p w14:paraId="35670E1C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rPr>
          <w:u w:val="single"/>
        </w:rPr>
        <w:t>Трансгенный крупный рогатый скот</w:t>
      </w:r>
      <w:r w:rsidRPr="00B42875">
        <w:t>. Целью трансгеноза крупного рогатого скота является изменение содержания различных веществ — белков, ферментов и других, в молоке. Например, введение трансгена белка к-казеина в клетки молочной железы и его последующая гиперэкспрессия приведет к повышению количества этого белка в молоке. Использование такого молока в качестве сырья при производстве сыра позволит значительно увеличить выход готового продукта. Введение и экспрессия гена фермента лактазы, катализирующего гидролитическое расщепление молочного сахара лактозы, даст возможность получать молоко, пригодное для людей, в организме которых нарушен синтез этого фермента.</w:t>
      </w:r>
    </w:p>
    <w:p w14:paraId="4D950BFB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 xml:space="preserve">Другой целью трансгеноза является создание домашних животных с наследственной устойчивостью к бактериальным и вирусным инфекциям, а также к паразитарным </w:t>
      </w:r>
      <w:proofErr w:type="gramStart"/>
      <w:r w:rsidRPr="00B42875">
        <w:t>инвазиям.Для</w:t>
      </w:r>
      <w:proofErr w:type="gramEnd"/>
      <w:r w:rsidRPr="00B42875">
        <w:t xml:space="preserve"> создания трансгенных коров использовали схему трансгеноза методом микроинъекций ДНК .</w:t>
      </w:r>
    </w:p>
    <w:p w14:paraId="69F984C8" w14:textId="0F39DBF6" w:rsid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  <w:r w:rsidRPr="00B42875">
        <w:t>На первом этапе производили сбор ооцитов (женских половых клеток) у коров, забитых на бойне. Эти яйцеклетки помещали in vitro в условия, в которых происходило их созревание до стадии полной зрелости. После этого их оплодотворяли бычьей спермой. Затем производили центрифугирование</w:t>
      </w:r>
      <w:r>
        <w:t xml:space="preserve"> </w:t>
      </w:r>
      <w:r w:rsidRPr="00B42875">
        <w:t>оплодотворенных яйцеклеток для концентрирования желтка.</w:t>
      </w:r>
      <w:r>
        <w:t xml:space="preserve"> </w:t>
      </w:r>
      <w:r w:rsidRPr="00B42875">
        <w:t xml:space="preserve">Схема получения трансгенных коров дальнейшими манипуляциями. После этого методом микроинъекции ДНК осуществляли введение трансгена в мужской пронуклеус (ядро сперматозоида); оплодотворенные яйцеклетки с генетически модифицированным геномом помещали в специальные условия in vitro, в которых начинается процесс эмбрионального развития, и культивировали до стадии бластоцисты. Эмбрион, развившийся до стадии ластоцисты, имплантировали нехирургическим путем в матку реципиентной коровы, где происходило его дальнейшее эмбриональное развитие. После рождения детенышей проводили скрининг их ДНК на </w:t>
      </w:r>
      <w:r w:rsidRPr="00B42875">
        <w:lastRenderedPageBreak/>
        <w:t xml:space="preserve">наличие трансгена. На заключительном этапе производили скрещивание трансгенных особей для получения гомозиготной линии трансгенных животных. Следует отметить, что эффективность получения трансгенных животных этим методом очень </w:t>
      </w:r>
      <w:proofErr w:type="gramStart"/>
      <w:r w:rsidRPr="00B42875">
        <w:t>низкая .</w:t>
      </w:r>
      <w:proofErr w:type="gramEnd"/>
      <w:r w:rsidRPr="00B42875">
        <w:t xml:space="preserve"> Так, в экспериментах из 2407 ооцитов были получены всего два трансгенных теленка. Исследования в области усовершенствования методов трансгеноза продолжаются.</w:t>
      </w:r>
    </w:p>
    <w:p w14:paraId="39B82DC8" w14:textId="69C11B15" w:rsid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</w:p>
    <w:p w14:paraId="3038F522" w14:textId="6F501627" w:rsidR="00B42875" w:rsidRDefault="00437551" w:rsidP="00437551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noProof/>
        </w:rPr>
        <w:drawing>
          <wp:inline distT="0" distB="0" distL="0" distR="0" wp14:anchorId="1CAE9988" wp14:editId="0F2F2012">
            <wp:extent cx="3286125" cy="398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98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EC7FB" w14:textId="2AFAE517" w:rsidR="00DE0F02" w:rsidRDefault="00DE0F02" w:rsidP="00437551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76337566" w14:textId="14938127" w:rsidR="00DE0F02" w:rsidRDefault="00DE0F02" w:rsidP="00437551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noProof/>
        </w:rPr>
        <w:lastRenderedPageBreak/>
        <w:drawing>
          <wp:inline distT="0" distB="0" distL="0" distR="0" wp14:anchorId="79CE6246" wp14:editId="12A67AE3">
            <wp:extent cx="5940425" cy="438964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2BEA7" w14:textId="77777777" w:rsidR="00DE0F02" w:rsidRDefault="00DE0F02" w:rsidP="00437551">
      <w:pPr>
        <w:pStyle w:val="a3"/>
        <w:shd w:val="clear" w:color="auto" w:fill="FFFFFF"/>
        <w:spacing w:before="0" w:beforeAutospacing="0" w:after="150" w:afterAutospacing="0"/>
        <w:jc w:val="center"/>
      </w:pPr>
    </w:p>
    <w:p w14:paraId="239453A3" w14:textId="1547395A" w:rsidR="009B5083" w:rsidRDefault="00A80D6A" w:rsidP="00437551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noProof/>
        </w:rPr>
        <w:lastRenderedPageBreak/>
        <w:drawing>
          <wp:inline distT="0" distB="0" distL="0" distR="0" wp14:anchorId="2BBE9081" wp14:editId="060552D4">
            <wp:extent cx="6019800" cy="7429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42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0EF73" w14:textId="0E6F1D5D" w:rsidR="009B5083" w:rsidRDefault="00603DD4" w:rsidP="00437551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noProof/>
        </w:rPr>
        <w:lastRenderedPageBreak/>
        <w:drawing>
          <wp:inline distT="0" distB="0" distL="0" distR="0" wp14:anchorId="14112912" wp14:editId="12C1C295">
            <wp:extent cx="4381500" cy="501551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357" cy="5018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02739" w14:textId="047F0B63" w:rsidR="009B5083" w:rsidRDefault="009B5083" w:rsidP="009B5083">
      <w:pPr>
        <w:pStyle w:val="a3"/>
        <w:shd w:val="clear" w:color="auto" w:fill="FFFFFF"/>
        <w:spacing w:before="0" w:beforeAutospacing="0" w:after="150" w:afterAutospacing="0"/>
      </w:pPr>
      <w:r w:rsidRPr="009B5083">
        <w:rPr>
          <w:b/>
          <w:bCs/>
          <w:sz w:val="28"/>
          <w:szCs w:val="28"/>
        </w:rPr>
        <w:t>2</w:t>
      </w:r>
      <w:r>
        <w:rPr>
          <w:noProof/>
        </w:rPr>
        <w:drawing>
          <wp:inline distT="0" distB="0" distL="0" distR="0" wp14:anchorId="2A89A7BD" wp14:editId="1E5B6332">
            <wp:extent cx="5876925" cy="1971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16" cy="1972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8E97C" w14:textId="77777777" w:rsidR="00B42875" w:rsidRPr="00B42875" w:rsidRDefault="00B42875" w:rsidP="00B42875">
      <w:pPr>
        <w:pStyle w:val="a3"/>
        <w:shd w:val="clear" w:color="auto" w:fill="FFFFFF"/>
        <w:spacing w:before="0" w:beforeAutospacing="0" w:after="150" w:afterAutospacing="0"/>
      </w:pPr>
    </w:p>
    <w:p w14:paraId="63EE0B89" w14:textId="183E3C23" w:rsidR="009B5083" w:rsidRDefault="009B5083" w:rsidP="009B50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8B70B1" wp14:editId="11DD128E">
            <wp:extent cx="5591175" cy="168595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182" cy="16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B5083">
        <w:rPr>
          <w:rFonts w:ascii="Times New Roman" w:hAnsi="Times New Roman" w:cs="Times New Roman"/>
          <w:b/>
          <w:bCs/>
          <w:sz w:val="24"/>
          <w:szCs w:val="24"/>
        </w:rPr>
        <w:t>Схема получения линии трансгенных мышей с использованием ретровирусных векторов</w:t>
      </w:r>
      <w:r w:rsidR="00DE0F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95C131" w14:textId="1215E461" w:rsidR="00DE0F02" w:rsidRDefault="00DE0F02" w:rsidP="009B50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DDA90F" wp14:editId="0DE42365">
            <wp:extent cx="4739949" cy="3434941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13" cy="34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723E5" w14:textId="7A58ED0B" w:rsidR="005F09F4" w:rsidRDefault="005F09F4" w:rsidP="009B5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AABB8" w14:textId="53B41E4F" w:rsidR="005F09F4" w:rsidRDefault="005F09F4" w:rsidP="009B50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879A738" wp14:editId="3C2DA81F">
            <wp:extent cx="6191250" cy="3067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BA620" w14:textId="76621D1F" w:rsidR="005F09F4" w:rsidRPr="005F09F4" w:rsidRDefault="005F09F4" w:rsidP="005F09F4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5F09F4">
        <w:rPr>
          <w:rFonts w:ascii="Times New Roman" w:hAnsi="Times New Roman" w:cs="Times New Roman"/>
          <w:color w:val="1E1E1E"/>
          <w:spacing w:val="2"/>
          <w:sz w:val="24"/>
          <w:szCs w:val="24"/>
        </w:rPr>
        <w:lastRenderedPageBreak/>
        <w:t>Клонирование овцы методом переноса ядра. Эпителиальные клетки молочной железы в культуре индуцируют для перехода в фазу G0 (стадия, на которой находится яйцеклетка). Затем существляют слияние такой клетки с энуклеированной яйцеклеткой и выращивают эмбрионы до ранних стадий эмбриогенеза. После чего эмбрионы имплантируют в матку суррогатной матери, где происходит дальнейшее развитие. В эксперименте Я. Уилмута (I. Wilmut) по клонированию Долли было проведено 277 слияний безъядерных яйцеклеток с клетками молочной железы в фазе G0, из 29 выживших эмбрионов только один развился до жизнеспособного организма</w:t>
      </w:r>
      <w:r w:rsidRPr="005F09F4">
        <w:rPr>
          <w:rFonts w:ascii="Times New Roman" w:hAnsi="Times New Roman" w:cs="Times New Roman"/>
          <w:color w:val="1E1E1E"/>
          <w:spacing w:val="2"/>
          <w:sz w:val="24"/>
          <w:szCs w:val="24"/>
        </w:rPr>
        <w:br/>
      </w:r>
    </w:p>
    <w:p w14:paraId="3E3D6E52" w14:textId="307E6460" w:rsidR="009B5083" w:rsidRDefault="005F09F4" w:rsidP="005F09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3997C67" wp14:editId="1451462B">
            <wp:extent cx="5940425" cy="2577231"/>
            <wp:effectExtent l="0" t="0" r="3175" b="0"/>
            <wp:docPr id="8" name="Рисунок 8" descr="Получение трансгенных мышей методом реконструкции эмбрионов с помощью генетически модифицированных эмбриональных стволовых клеток (ES-клеток). ES-клетки получают из внутренней клеточной массы бластоцисты мы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учение трансгенных мышей методом реконструкции эмбрионов с помощью генетически модифицированных эмбриональных стволовых клеток (ES-клеток). ES-клетки получают из внутренней клеточной массы бластоцисты мыш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7AD5" w14:textId="7ABE33EA" w:rsidR="005F09F4" w:rsidRDefault="005F09F4" w:rsidP="005F09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5F4BC8" w14:textId="7360EBFB" w:rsidR="005F09F4" w:rsidRPr="005F09F4" w:rsidRDefault="005F09F4" w:rsidP="005F09F4">
      <w:pPr>
        <w:rPr>
          <w:rFonts w:ascii="Times New Roman" w:hAnsi="Times New Roman" w:cs="Times New Roman"/>
          <w:sz w:val="24"/>
          <w:szCs w:val="24"/>
        </w:rPr>
      </w:pPr>
      <w:r w:rsidRPr="005F09F4">
        <w:rPr>
          <w:rFonts w:ascii="Times New Roman" w:hAnsi="Times New Roman" w:cs="Times New Roman"/>
          <w:sz w:val="24"/>
          <w:szCs w:val="24"/>
        </w:rPr>
        <w:t>Получение трансгенных мышей методом реконструкции эмбрионов с помощью генетически модифицированных эмбриональных стволовых клеток (ES-клеток). ES-клетки получают из внутренней клеточной массы бластоцисты мыши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2114" w14:textId="77777777" w:rsidR="005F09F4" w:rsidRPr="005F09F4" w:rsidRDefault="005F09F4" w:rsidP="005F09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DA7FA2" w14:textId="77777777" w:rsidR="005F09F4" w:rsidRPr="009B5083" w:rsidRDefault="005F09F4" w:rsidP="005F09F4">
      <w:pPr>
        <w:rPr>
          <w:rFonts w:ascii="Times New Roman" w:hAnsi="Times New Roman" w:cs="Times New Roman"/>
          <w:sz w:val="24"/>
          <w:szCs w:val="24"/>
        </w:rPr>
      </w:pPr>
    </w:p>
    <w:sectPr w:rsidR="005F09F4" w:rsidRPr="009B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A9"/>
    <w:rsid w:val="00394B16"/>
    <w:rsid w:val="00437551"/>
    <w:rsid w:val="005F09F4"/>
    <w:rsid w:val="00603DD4"/>
    <w:rsid w:val="009505D1"/>
    <w:rsid w:val="009B5083"/>
    <w:rsid w:val="00A80D6A"/>
    <w:rsid w:val="00B42875"/>
    <w:rsid w:val="00DE0F02"/>
    <w:rsid w:val="00E5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AEF3"/>
  <w15:chartTrackingRefBased/>
  <w15:docId w15:val="{DA6CE6F9-08FA-4C8A-82EC-B163A76D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11</cp:revision>
  <dcterms:created xsi:type="dcterms:W3CDTF">2021-12-26T18:28:00Z</dcterms:created>
  <dcterms:modified xsi:type="dcterms:W3CDTF">2021-12-28T18:21:00Z</dcterms:modified>
</cp:coreProperties>
</file>