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00F9" w14:textId="77777777" w:rsidR="00315FE2" w:rsidRPr="006F1584" w:rsidRDefault="00E31C1B" w:rsidP="00E31C1B">
      <w:pPr>
        <w:jc w:val="center"/>
        <w:rPr>
          <w:rFonts w:ascii="Times New Roman" w:hAnsi="Times New Roman" w:cs="Times New Roman"/>
          <w:b/>
          <w:sz w:val="24"/>
          <w:szCs w:val="24"/>
        </w:rPr>
      </w:pPr>
      <w:r w:rsidRPr="006F1584">
        <w:rPr>
          <w:rFonts w:ascii="Times New Roman" w:hAnsi="Times New Roman" w:cs="Times New Roman"/>
          <w:b/>
          <w:sz w:val="24"/>
          <w:szCs w:val="24"/>
        </w:rPr>
        <w:t>ЛЕКЦИЯ Анализ и диагностика использования земельных ресурсов организации</w:t>
      </w:r>
    </w:p>
    <w:p w14:paraId="2C082966" w14:textId="77777777" w:rsidR="00E31C1B" w:rsidRPr="006F1584" w:rsidRDefault="00E31C1B" w:rsidP="00E31C1B">
      <w:pPr>
        <w:jc w:val="center"/>
        <w:rPr>
          <w:rFonts w:ascii="Times New Roman" w:hAnsi="Times New Roman" w:cs="Times New Roman"/>
          <w:b/>
          <w:sz w:val="24"/>
          <w:szCs w:val="24"/>
        </w:rPr>
      </w:pPr>
    </w:p>
    <w:p w14:paraId="50290738" w14:textId="77777777" w:rsidR="00E31C1B" w:rsidRPr="006F1584" w:rsidRDefault="00E31C1B" w:rsidP="00E31C1B">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Вопросы:</w:t>
      </w:r>
    </w:p>
    <w:p w14:paraId="5106CF07" w14:textId="77777777" w:rsidR="00E31C1B" w:rsidRPr="006F1584" w:rsidRDefault="00E31C1B" w:rsidP="00E31C1B">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1 Анализ размера, структуры и состояния земельных ресурсов организации</w:t>
      </w:r>
    </w:p>
    <w:p w14:paraId="0D4117A9" w14:textId="77777777" w:rsidR="00E31C1B" w:rsidRPr="006F1584" w:rsidRDefault="00E31C1B" w:rsidP="00E31C1B">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2 Анализ рациональности использования сельскохозяйственных угодий организации</w:t>
      </w:r>
    </w:p>
    <w:p w14:paraId="15357940" w14:textId="77777777" w:rsidR="00E31C1B" w:rsidRPr="006F1584" w:rsidRDefault="00E31C1B" w:rsidP="00E31C1B">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3 Анализ эффективности использования сельскохозяйственных угодий организации</w:t>
      </w:r>
    </w:p>
    <w:p w14:paraId="3F795156" w14:textId="77777777" w:rsidR="00E31C1B" w:rsidRPr="006F1584" w:rsidRDefault="00E31C1B" w:rsidP="00E31C1B">
      <w:pPr>
        <w:spacing w:after="0" w:line="240" w:lineRule="auto"/>
        <w:ind w:firstLine="709"/>
        <w:jc w:val="both"/>
        <w:rPr>
          <w:rFonts w:ascii="Times New Roman" w:hAnsi="Times New Roman" w:cs="Times New Roman"/>
          <w:b/>
          <w:sz w:val="24"/>
          <w:szCs w:val="24"/>
        </w:rPr>
      </w:pPr>
    </w:p>
    <w:p w14:paraId="2C3215DA" w14:textId="77777777" w:rsidR="00E31C1B" w:rsidRPr="006F1584" w:rsidRDefault="00E31C1B" w:rsidP="00E31C1B">
      <w:pPr>
        <w:spacing w:after="0" w:line="240" w:lineRule="auto"/>
        <w:ind w:firstLine="709"/>
        <w:jc w:val="both"/>
        <w:rPr>
          <w:rFonts w:ascii="Times New Roman" w:hAnsi="Times New Roman" w:cs="Times New Roman"/>
          <w:b/>
          <w:sz w:val="24"/>
          <w:szCs w:val="24"/>
        </w:rPr>
      </w:pPr>
    </w:p>
    <w:p w14:paraId="187D1C39" w14:textId="77777777" w:rsidR="000C373A" w:rsidRPr="006F1584" w:rsidRDefault="00E31C1B" w:rsidP="000C373A">
      <w:pPr>
        <w:ind w:firstLine="540"/>
        <w:rPr>
          <w:rFonts w:ascii="Times New Roman" w:eastAsia="Times New Roman" w:hAnsi="Times New Roman" w:cs="Times New Roman"/>
          <w:sz w:val="24"/>
          <w:szCs w:val="24"/>
          <w:lang w:eastAsia="ru-RU"/>
        </w:rPr>
      </w:pPr>
      <w:r w:rsidRPr="006F1584">
        <w:rPr>
          <w:rFonts w:ascii="Times New Roman" w:hAnsi="Times New Roman" w:cs="Times New Roman"/>
          <w:b/>
          <w:sz w:val="24"/>
          <w:szCs w:val="24"/>
        </w:rPr>
        <w:t>1 Анализ размера, структуры и состояния земельных ресурсов организации</w:t>
      </w:r>
      <w:bookmarkStart w:id="0" w:name="dst180"/>
      <w:bookmarkEnd w:id="0"/>
      <w:r w:rsidR="000C373A" w:rsidRPr="006F1584">
        <w:rPr>
          <w:rFonts w:ascii="Times New Roman" w:eastAsia="Times New Roman" w:hAnsi="Times New Roman" w:cs="Times New Roman"/>
          <w:sz w:val="24"/>
          <w:szCs w:val="24"/>
          <w:lang w:eastAsia="ru-RU"/>
        </w:rPr>
        <w:t xml:space="preserve"> </w:t>
      </w:r>
    </w:p>
    <w:p w14:paraId="12B069E3" w14:textId="77777777" w:rsidR="000C373A" w:rsidRPr="006F1584" w:rsidRDefault="000C373A" w:rsidP="000C373A">
      <w:pPr>
        <w:spacing w:after="0" w:line="240" w:lineRule="auto"/>
        <w:ind w:firstLine="709"/>
        <w:jc w:val="both"/>
        <w:rPr>
          <w:rFonts w:ascii="Times New Roman" w:eastAsia="Times New Roman" w:hAnsi="Times New Roman" w:cs="Times New Roman"/>
          <w:sz w:val="24"/>
          <w:szCs w:val="24"/>
          <w:lang w:eastAsia="ru-RU"/>
        </w:rPr>
      </w:pPr>
      <w:r w:rsidRPr="006F1584">
        <w:rPr>
          <w:rFonts w:ascii="Times New Roman" w:hAnsi="Times New Roman" w:cs="Times New Roman"/>
          <w:sz w:val="24"/>
          <w:szCs w:val="24"/>
        </w:rPr>
        <w:t>Земельные ресурсы, которые используются в сельскохозяйственном производстве коммерческими организациями, относятся российским законодательством к категории земель сельскохозяйственного назначения.</w:t>
      </w:r>
    </w:p>
    <w:p w14:paraId="14DADF44" w14:textId="77777777" w:rsidR="000C373A" w:rsidRPr="006F1584" w:rsidRDefault="000C373A" w:rsidP="000C373A">
      <w:pPr>
        <w:spacing w:after="0" w:line="240" w:lineRule="auto"/>
        <w:ind w:firstLine="709"/>
        <w:jc w:val="both"/>
        <w:rPr>
          <w:rFonts w:ascii="Times New Roman" w:eastAsia="Times New Roman" w:hAnsi="Times New Roman" w:cs="Times New Roman"/>
          <w:sz w:val="24"/>
          <w:szCs w:val="24"/>
          <w:lang w:eastAsia="ru-RU"/>
        </w:rPr>
      </w:pPr>
      <w:r w:rsidRPr="006F1584">
        <w:rPr>
          <w:rFonts w:ascii="Times New Roman" w:eastAsia="Times New Roman" w:hAnsi="Times New Roman" w:cs="Times New Roman"/>
          <w:sz w:val="24"/>
          <w:szCs w:val="24"/>
          <w:lang w:eastAsia="ru-RU"/>
        </w:rPr>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2BB3F737" w14:textId="77777777" w:rsidR="000C373A" w:rsidRPr="000C373A" w:rsidRDefault="000C373A" w:rsidP="000C373A">
      <w:pPr>
        <w:spacing w:after="0" w:line="240" w:lineRule="auto"/>
        <w:ind w:firstLine="709"/>
        <w:jc w:val="both"/>
        <w:rPr>
          <w:rFonts w:ascii="Times New Roman" w:eastAsia="Times New Roman" w:hAnsi="Times New Roman" w:cs="Times New Roman"/>
          <w:sz w:val="24"/>
          <w:szCs w:val="24"/>
          <w:lang w:eastAsia="ru-RU"/>
        </w:rPr>
      </w:pPr>
      <w:bookmarkStart w:id="1" w:name="dst2288"/>
      <w:bookmarkEnd w:id="1"/>
      <w:r w:rsidRPr="000C373A">
        <w:rPr>
          <w:rFonts w:ascii="Times New Roman" w:eastAsia="Times New Roman" w:hAnsi="Times New Roman" w:cs="Times New Roman"/>
          <w:sz w:val="24"/>
          <w:szCs w:val="24"/>
          <w:lang w:eastAsia="ru-RU"/>
        </w:rP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14:paraId="321FC5B5" w14:textId="77777777" w:rsidR="000C373A" w:rsidRPr="006F1584"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 xml:space="preserve">Сельскохозяйственные угодья используются для производства сельскохозяйственной продукции. В состав сельскохозяйственных угодий входят следующие виды угодий: пашня, сенокосы, пастбища, многолетние насаждения. </w:t>
      </w:r>
    </w:p>
    <w:p w14:paraId="07F08A99" w14:textId="77777777" w:rsidR="000C373A" w:rsidRPr="006F1584"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 xml:space="preserve">Анализ земельных ресурсов </w:t>
      </w:r>
      <w:r w:rsidR="000C373A" w:rsidRPr="006F1584">
        <w:rPr>
          <w:rFonts w:ascii="Times New Roman" w:hAnsi="Times New Roman" w:cs="Times New Roman"/>
          <w:sz w:val="24"/>
          <w:szCs w:val="24"/>
        </w:rPr>
        <w:t xml:space="preserve">организации </w:t>
      </w:r>
      <w:r w:rsidRPr="006F1584">
        <w:rPr>
          <w:rFonts w:ascii="Times New Roman" w:hAnsi="Times New Roman" w:cs="Times New Roman"/>
          <w:sz w:val="24"/>
          <w:szCs w:val="24"/>
        </w:rPr>
        <w:t xml:space="preserve">осуществляется на основании документов по учету земли. К ним относятся: </w:t>
      </w:r>
    </w:p>
    <w:p w14:paraId="3201BAE4" w14:textId="77777777" w:rsidR="000C373A" w:rsidRPr="006F1584"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 xml:space="preserve">1. «Государственный земельный кадастр». Он представляет собой систему необходимых сведений и документов о правовом режиме земель, их распределении по собственникам земли, категориям земель, а также о качественной характеристике и ценности земельных угодий. Данные государственного земельного кадастра подлежат обязательному применению при планировании и при анализе хозяйственной деятельности предприятия. </w:t>
      </w:r>
    </w:p>
    <w:p w14:paraId="076B9639" w14:textId="77777777" w:rsidR="000C373A" w:rsidRPr="006F1584"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2. «Государственный акт на право пользования землей», в котором указываются площадь и план внешних границ.</w:t>
      </w:r>
    </w:p>
    <w:p w14:paraId="456EB092" w14:textId="77777777" w:rsidR="000C373A" w:rsidRPr="006F1584"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 xml:space="preserve">3. «Земельная шнуровая книга», в которой имеются сведения о составе земельных угодий, а также отражаются все изменения в землепользовании на протяжении года, ведется учет приусадебных земель. </w:t>
      </w:r>
    </w:p>
    <w:p w14:paraId="42789CCB" w14:textId="77777777" w:rsidR="000C373A" w:rsidRPr="006F1584" w:rsidRDefault="000C373A"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4</w:t>
      </w:r>
      <w:r w:rsidR="00E31C1B" w:rsidRPr="006F1584">
        <w:rPr>
          <w:rFonts w:ascii="Times New Roman" w:hAnsi="Times New Roman" w:cs="Times New Roman"/>
          <w:sz w:val="24"/>
          <w:szCs w:val="24"/>
        </w:rPr>
        <w:t>. «Книга истории полей», в которой ведется учет использования пашни, внесения удобрений, сроков сева, выполнения агротехнических мероприятий, полученной урожайности.</w:t>
      </w:r>
    </w:p>
    <w:p w14:paraId="2823E3BA" w14:textId="77777777" w:rsidR="000C373A" w:rsidRPr="006F1584" w:rsidRDefault="000C373A"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В процессе анализа</w:t>
      </w:r>
      <w:r w:rsidR="00E31C1B" w:rsidRPr="006F1584">
        <w:rPr>
          <w:rFonts w:ascii="Times New Roman" w:hAnsi="Times New Roman" w:cs="Times New Roman"/>
          <w:sz w:val="24"/>
          <w:szCs w:val="24"/>
        </w:rPr>
        <w:t xml:space="preserve"> использования земельн</w:t>
      </w:r>
      <w:r w:rsidRPr="006F1584">
        <w:rPr>
          <w:rFonts w:ascii="Times New Roman" w:hAnsi="Times New Roman" w:cs="Times New Roman"/>
          <w:sz w:val="24"/>
          <w:szCs w:val="24"/>
        </w:rPr>
        <w:t>ых ресурсов организации</w:t>
      </w:r>
      <w:r w:rsidR="00E31C1B" w:rsidRPr="006F1584">
        <w:rPr>
          <w:rFonts w:ascii="Times New Roman" w:hAnsi="Times New Roman" w:cs="Times New Roman"/>
          <w:sz w:val="24"/>
          <w:szCs w:val="24"/>
        </w:rPr>
        <w:t xml:space="preserve"> необходимо изучить изменения в размере земельных угодий и выявить возможности дальнейшего расширения площади пашни, улучшенных сенокосов и пастбищ в хозяйстве. В процессе анализа нужно сравнивать фактические данные о размере угодий в текущем году с плановыми и данными прошлых лет. Это позволит определить изменения в размере общего земельного фонда, площади сельскохозяйственных земель в целом и по видам угодий. Изучая изменения в размере земельных угодий, необходимо отметить, что они </w:t>
      </w:r>
      <w:r w:rsidR="00E31C1B" w:rsidRPr="006F1584">
        <w:rPr>
          <w:rFonts w:ascii="Times New Roman" w:hAnsi="Times New Roman" w:cs="Times New Roman"/>
          <w:sz w:val="24"/>
          <w:szCs w:val="24"/>
        </w:rPr>
        <w:lastRenderedPageBreak/>
        <w:t xml:space="preserve">происходят не стихийно, а в результате выполнения плана мероприятий по улучшению использования земель. </w:t>
      </w:r>
    </w:p>
    <w:p w14:paraId="03E41118" w14:textId="77777777" w:rsidR="00E31C1B" w:rsidRDefault="00E31C1B" w:rsidP="000C373A">
      <w:pPr>
        <w:spacing w:after="0" w:line="240" w:lineRule="auto"/>
        <w:ind w:firstLine="709"/>
        <w:jc w:val="both"/>
        <w:rPr>
          <w:rFonts w:ascii="Times New Roman" w:hAnsi="Times New Roman" w:cs="Times New Roman"/>
          <w:sz w:val="24"/>
          <w:szCs w:val="24"/>
        </w:rPr>
      </w:pPr>
      <w:r w:rsidRPr="006F1584">
        <w:rPr>
          <w:rFonts w:ascii="Times New Roman" w:hAnsi="Times New Roman" w:cs="Times New Roman"/>
          <w:sz w:val="24"/>
          <w:szCs w:val="24"/>
        </w:rPr>
        <w:t xml:space="preserve">Особое внимание нужно уделять выявлению возможностей расширения площади </w:t>
      </w:r>
      <w:r w:rsidR="000C373A" w:rsidRPr="006F1584">
        <w:rPr>
          <w:rFonts w:ascii="Times New Roman" w:hAnsi="Times New Roman" w:cs="Times New Roman"/>
          <w:sz w:val="24"/>
          <w:szCs w:val="24"/>
        </w:rPr>
        <w:t>сельскохозяйственных</w:t>
      </w:r>
      <w:r w:rsidRPr="006F1584">
        <w:rPr>
          <w:rFonts w:ascii="Times New Roman" w:hAnsi="Times New Roman" w:cs="Times New Roman"/>
          <w:sz w:val="24"/>
          <w:szCs w:val="24"/>
        </w:rPr>
        <w:t xml:space="preserve"> угодий, определив при этом вместе со специалистами выгодность тех или иных мероприятий. Так, при определении целесообразности мероприятий по переводу одного вида угодий в другой, следует пользоваться данными о выходе кормовых единиц с 1</w:t>
      </w:r>
      <w:r w:rsidR="000C373A" w:rsidRPr="006F1584">
        <w:rPr>
          <w:rFonts w:ascii="Times New Roman" w:hAnsi="Times New Roman" w:cs="Times New Roman"/>
          <w:sz w:val="24"/>
          <w:szCs w:val="24"/>
        </w:rPr>
        <w:t xml:space="preserve"> </w:t>
      </w:r>
      <w:r w:rsidRPr="006F1584">
        <w:rPr>
          <w:rFonts w:ascii="Times New Roman" w:hAnsi="Times New Roman" w:cs="Times New Roman"/>
          <w:sz w:val="24"/>
          <w:szCs w:val="24"/>
        </w:rPr>
        <w:t xml:space="preserve">га, затратах труда, себестоимости кормовой единицы и содержании в ней питательных веществ. На практике встречаются случаи, когда мероприятия по улучшению кормовых угодий обеспечивают дополнительный выход продукции с меньшими затратами на ее производство, чем при переводе этих земель в пашню. Определяя целесообразность перевода естественных кормовых угодий в пашню, необходимо использовать данные об урожайности и себестоимости продукции не за один год, а в среднем за 3-5 лет. В связи с изменением размеров земельных угодий, их трансформацией происходят существенные изменения в структуре земельного фонда, то есть доля одних видов угодий увеличивается, а других – уменьшается. Наиболее интенсивно используются и дают лучшую отдачу пахотные земли, затем улучшенные сенокосы и пастбища, а потом естественные луга и пастбища. Поэтому для оценки степени интенсивности использования земель в хозяйстве необходимо рассмотреть показатели удельного веса каждого вида угодий в общей площади земель сельскохозяйственного назначения в динамике, а также в сравнении с данными передового хозяйства и средними по району. В дальнейшем, исходя из конкретных условий хозяйства, необходимо установить, какие мероприятия целесообразно провести, чтобы увеличить площадь пашни как наиболее продуктивного вида угодий. Это может быть распашка лишних внутренних дорог и придорожных полос, расчистка полей от кустарников, валунов, рациональное размещение построек, ликвидация </w:t>
      </w:r>
      <w:proofErr w:type="spellStart"/>
      <w:r w:rsidRPr="006F1584">
        <w:rPr>
          <w:rFonts w:ascii="Times New Roman" w:hAnsi="Times New Roman" w:cs="Times New Roman"/>
          <w:sz w:val="24"/>
          <w:szCs w:val="24"/>
        </w:rPr>
        <w:t>мелкоконтурности</w:t>
      </w:r>
      <w:proofErr w:type="spellEnd"/>
      <w:r w:rsidRPr="006F1584">
        <w:rPr>
          <w:rFonts w:ascii="Times New Roman" w:hAnsi="Times New Roman" w:cs="Times New Roman"/>
          <w:sz w:val="24"/>
          <w:szCs w:val="24"/>
        </w:rPr>
        <w:t xml:space="preserve"> участков и т.д. Установив изменения в структуре земельного фонда, и в частности сельскохозяйственных угодий, необходимо определить влияние данного фактора на объем производства продукции растениеводства и другие экономические показатели.</w:t>
      </w:r>
    </w:p>
    <w:p w14:paraId="5F7073DF" w14:textId="77777777" w:rsidR="006F1584" w:rsidRDefault="006F1584" w:rsidP="000C373A">
      <w:pPr>
        <w:spacing w:after="0" w:line="240" w:lineRule="auto"/>
        <w:ind w:firstLine="709"/>
        <w:jc w:val="both"/>
        <w:rPr>
          <w:rFonts w:ascii="Times New Roman" w:hAnsi="Times New Roman" w:cs="Times New Roman"/>
          <w:sz w:val="24"/>
          <w:szCs w:val="24"/>
        </w:rPr>
      </w:pPr>
    </w:p>
    <w:p w14:paraId="781A2E04" w14:textId="77777777" w:rsidR="006F1584" w:rsidRPr="006F1584" w:rsidRDefault="006F1584" w:rsidP="006F1584">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2 Анализ рациональности использования сельскохозяйственных угодий организации</w:t>
      </w:r>
    </w:p>
    <w:p w14:paraId="1F6440E6" w14:textId="77777777" w:rsidR="006F1584" w:rsidRDefault="006F1584" w:rsidP="000C373A">
      <w:pPr>
        <w:spacing w:after="0" w:line="240" w:lineRule="auto"/>
        <w:ind w:firstLine="709"/>
        <w:jc w:val="both"/>
        <w:rPr>
          <w:rFonts w:ascii="Times New Roman" w:hAnsi="Times New Roman" w:cs="Times New Roman"/>
          <w:b/>
          <w:sz w:val="24"/>
          <w:szCs w:val="24"/>
        </w:rPr>
      </w:pPr>
    </w:p>
    <w:p w14:paraId="641A6B54" w14:textId="77777777" w:rsidR="001F4C84" w:rsidRPr="007229E2" w:rsidRDefault="001F4C84"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14:paraId="6494630F" w14:textId="77777777" w:rsidR="007229E2" w:rsidRPr="007229E2" w:rsidRDefault="007229E2" w:rsidP="007229E2">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229E2">
        <w:rPr>
          <w:rFonts w:ascii="Times New Roman" w:hAnsi="Times New Roman" w:cs="Times New Roman"/>
          <w:bCs/>
          <w:sz w:val="24"/>
          <w:szCs w:val="24"/>
        </w:rPr>
        <w:t>В соответствии со статьей 12 Земельного кодекса РФ</w:t>
      </w:r>
      <w:r w:rsidRPr="007229E2">
        <w:rPr>
          <w:rFonts w:ascii="Times New Roman" w:hAnsi="Times New Roman" w:cs="Times New Roman"/>
          <w:b/>
          <w:bCs/>
          <w:sz w:val="24"/>
          <w:szCs w:val="24"/>
        </w:rPr>
        <w:t xml:space="preserve"> ц</w:t>
      </w:r>
      <w:r w:rsidRPr="007229E2">
        <w:rPr>
          <w:rFonts w:ascii="Times New Roman" w:hAnsi="Times New Roman" w:cs="Times New Roman"/>
          <w:sz w:val="24"/>
          <w:szCs w:val="24"/>
        </w:rPr>
        <w:t>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14:paraId="2BA925B8"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14:paraId="1318D392"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1) воспроизводству плодородия земель сельскохозяйственного назначения;</w:t>
      </w:r>
    </w:p>
    <w:p w14:paraId="3A7945B5"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14:paraId="5973F709"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14:paraId="50D8FCA5"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lastRenderedPageBreak/>
        <w:t xml:space="preserve">Мероприятия по охране земель проводятся в соответствии с настоящим Кодексом, Федеральным </w:t>
      </w:r>
      <w:hyperlink r:id="rId5" w:history="1">
        <w:r w:rsidRPr="007229E2">
          <w:rPr>
            <w:rFonts w:ascii="Times New Roman" w:hAnsi="Times New Roman" w:cs="Times New Roman"/>
            <w:color w:val="0000FF"/>
            <w:sz w:val="24"/>
            <w:szCs w:val="24"/>
          </w:rPr>
          <w:t>законом</w:t>
        </w:r>
      </w:hyperlink>
      <w:r w:rsidRPr="007229E2">
        <w:rPr>
          <w:rFonts w:ascii="Times New Roman" w:hAnsi="Times New Roman" w:cs="Times New Roman"/>
          <w:sz w:val="24"/>
          <w:szCs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6" w:history="1">
        <w:r w:rsidRPr="007229E2">
          <w:rPr>
            <w:rFonts w:ascii="Times New Roman" w:hAnsi="Times New Roman" w:cs="Times New Roman"/>
            <w:color w:val="0000FF"/>
            <w:sz w:val="24"/>
            <w:szCs w:val="24"/>
          </w:rPr>
          <w:t>законом</w:t>
        </w:r>
      </w:hyperlink>
      <w:r w:rsidRPr="007229E2">
        <w:rPr>
          <w:rFonts w:ascii="Times New Roman" w:hAnsi="Times New Roman" w:cs="Times New Roman"/>
          <w:sz w:val="24"/>
          <w:szCs w:val="24"/>
        </w:rPr>
        <w:t xml:space="preserve"> от 10 января 2002 года N 7-ФЗ "Об охране окружающей среды".</w:t>
      </w:r>
    </w:p>
    <w:p w14:paraId="2F6120C1"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14:paraId="3C326BA6" w14:textId="77777777" w:rsidR="007229E2" w:rsidRPr="007229E2" w:rsidRDefault="007229E2" w:rsidP="007229E2">
      <w:pPr>
        <w:autoSpaceDE w:val="0"/>
        <w:autoSpaceDN w:val="0"/>
        <w:adjustRightInd w:val="0"/>
        <w:spacing w:after="0" w:line="240" w:lineRule="auto"/>
        <w:ind w:firstLine="709"/>
        <w:jc w:val="both"/>
        <w:rPr>
          <w:rFonts w:ascii="Times New Roman" w:hAnsi="Times New Roman" w:cs="Times New Roman"/>
          <w:sz w:val="24"/>
          <w:szCs w:val="24"/>
        </w:rPr>
      </w:pPr>
      <w:r w:rsidRPr="007229E2">
        <w:rPr>
          <w:rFonts w:ascii="Times New Roman" w:hAnsi="Times New Roman" w:cs="Times New Roman"/>
          <w:sz w:val="24"/>
          <w:szCs w:val="24"/>
        </w:rPr>
        <w:t>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14:paraId="7558897B"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Постановлением Правительства РФ от 22.07.2011 N 612 "Об утверждении критериев существенного снижения плодородия земель сельскохозяйственного назначения" существенным снижением плодородия земель сельскохозяйственного назначения является изменение числовых значений не менее 3 следующих критериев, причиной которого стало использование земель с нарушением установленных земельным </w:t>
      </w:r>
      <w:hyperlink r:id="rId7" w:history="1">
        <w:r>
          <w:rPr>
            <w:rFonts w:ascii="Times New Roman" w:hAnsi="Times New Roman" w:cs="Times New Roman"/>
            <w:color w:val="0000FF"/>
            <w:sz w:val="26"/>
            <w:szCs w:val="26"/>
          </w:rPr>
          <w:t>законодательством</w:t>
        </w:r>
      </w:hyperlink>
      <w:r>
        <w:rPr>
          <w:rFonts w:ascii="Times New Roman" w:hAnsi="Times New Roman" w:cs="Times New Roman"/>
          <w:sz w:val="26"/>
          <w:szCs w:val="26"/>
        </w:rPr>
        <w:t xml:space="preserve"> Российской Федерации требований рационального использования земли:</w:t>
      </w:r>
    </w:p>
    <w:p w14:paraId="609F2D24"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снижение содержания органического вещества в пахотном горизонте на 15 процентов или более;</w:t>
      </w:r>
    </w:p>
    <w:p w14:paraId="5593A8DA"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снижение кислотности в кислых почвах (</w:t>
      </w:r>
      <w:r>
        <w:rPr>
          <w:rFonts w:ascii="Times New Roman" w:hAnsi="Times New Roman" w:cs="Times New Roman"/>
          <w:noProof/>
          <w:position w:val="-10"/>
          <w:sz w:val="26"/>
          <w:szCs w:val="26"/>
          <w:lang w:eastAsia="ru-RU"/>
        </w:rPr>
        <w:drawing>
          <wp:inline distT="0" distB="0" distL="0" distR="0" wp14:anchorId="5BEDE24D" wp14:editId="500F9E08">
            <wp:extent cx="50482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95275"/>
                    </a:xfrm>
                    <a:prstGeom prst="rect">
                      <a:avLst/>
                    </a:prstGeom>
                    <a:noFill/>
                    <a:ln>
                      <a:noFill/>
                    </a:ln>
                  </pic:spPr>
                </pic:pic>
              </a:graphicData>
            </a:graphic>
          </wp:inline>
        </w:drawing>
      </w:r>
      <w:r>
        <w:rPr>
          <w:rFonts w:ascii="Times New Roman" w:hAnsi="Times New Roman" w:cs="Times New Roman"/>
          <w:sz w:val="26"/>
          <w:szCs w:val="26"/>
        </w:rPr>
        <w:t>) на 10 процентов или более;</w:t>
      </w:r>
    </w:p>
    <w:p w14:paraId="1CC186D1"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повышение щелочности в щелочных почвах (</w:t>
      </w:r>
      <w:r>
        <w:rPr>
          <w:rFonts w:ascii="Times New Roman" w:hAnsi="Times New Roman" w:cs="Times New Roman"/>
          <w:noProof/>
          <w:position w:val="-10"/>
          <w:sz w:val="26"/>
          <w:szCs w:val="26"/>
          <w:lang w:eastAsia="ru-RU"/>
        </w:rPr>
        <w:drawing>
          <wp:inline distT="0" distB="0" distL="0" distR="0" wp14:anchorId="022E6EA1" wp14:editId="4A56C22C">
            <wp:extent cx="54292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295275"/>
                    </a:xfrm>
                    <a:prstGeom prst="rect">
                      <a:avLst/>
                    </a:prstGeom>
                    <a:noFill/>
                    <a:ln>
                      <a:noFill/>
                    </a:ln>
                  </pic:spPr>
                </pic:pic>
              </a:graphicData>
            </a:graphic>
          </wp:inline>
        </w:drawing>
      </w:r>
      <w:r>
        <w:rPr>
          <w:rFonts w:ascii="Times New Roman" w:hAnsi="Times New Roman" w:cs="Times New Roman"/>
          <w:sz w:val="26"/>
          <w:szCs w:val="26"/>
        </w:rPr>
        <w:t>) на 10 процентов или более;</w:t>
      </w:r>
    </w:p>
    <w:p w14:paraId="475DCEAD"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снижение содержания подвижного фосфора (мг/кг почвы) на 25 процентов или более;</w:t>
      </w:r>
    </w:p>
    <w:p w14:paraId="74CE9903"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снижение содержания обменного калия (мг/кг почвы) на 25 процентов или более.</w:t>
      </w:r>
    </w:p>
    <w:p w14:paraId="34D103F3"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Постановлением Правительства РФ от 19.07.2012 N 736 "О критериях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 критериями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w:t>
      </w:r>
      <w:hyperlink r:id="rId10" w:history="1">
        <w:r>
          <w:rPr>
            <w:rFonts w:ascii="Times New Roman" w:hAnsi="Times New Roman" w:cs="Times New Roman"/>
            <w:color w:val="0000FF"/>
            <w:sz w:val="26"/>
            <w:szCs w:val="26"/>
          </w:rPr>
          <w:t>законодательством</w:t>
        </w:r>
      </w:hyperlink>
      <w:r>
        <w:rPr>
          <w:rFonts w:ascii="Times New Roman" w:hAnsi="Times New Roman" w:cs="Times New Roman"/>
          <w:sz w:val="26"/>
          <w:szCs w:val="26"/>
        </w:rPr>
        <w:t xml:space="preserve"> требований рационального использования земли являются:</w:t>
      </w:r>
    </w:p>
    <w:p w14:paraId="51913E7E"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загрязнение почв химическими веществами, при котором суммарный показатель содержания в почве загрязняющих веществ, концентрация которых превышает установленные для химических веществ нормативы предельно допустимой концентрации, равен или превышает значение 30. Указанный показатель определяется как сумма отношений фактического содержания каждого загрязняющего вещества, концентрация которого превышает установленные для химических веществ нормативы предельно допустимой концентрации, к величине его норматива предельно допустимой концентрации;</w:t>
      </w:r>
    </w:p>
    <w:p w14:paraId="4C1750F9" w14:textId="77777777" w:rsidR="007229E2" w:rsidRDefault="007229E2" w:rsidP="007229E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размещение отходов производства и потребления 1 - 4 классов опасности в пределах земельного участка на суммарной площади от 0,5 гектара и выше.</w:t>
      </w:r>
    </w:p>
    <w:p w14:paraId="358A3B32" w14:textId="77777777" w:rsidR="007229E2" w:rsidRDefault="007229E2" w:rsidP="007229E2">
      <w:pPr>
        <w:autoSpaceDE w:val="0"/>
        <w:autoSpaceDN w:val="0"/>
        <w:adjustRightInd w:val="0"/>
        <w:spacing w:after="0" w:line="240" w:lineRule="auto"/>
        <w:ind w:firstLine="540"/>
        <w:jc w:val="both"/>
        <w:outlineLvl w:val="0"/>
        <w:rPr>
          <w:rFonts w:ascii="Times New Roman" w:hAnsi="Times New Roman" w:cs="Times New Roman"/>
          <w:sz w:val="26"/>
          <w:szCs w:val="26"/>
        </w:rPr>
      </w:pPr>
      <w:r>
        <w:rPr>
          <w:rFonts w:ascii="Times New Roman" w:hAnsi="Times New Roman" w:cs="Times New Roman"/>
          <w:sz w:val="26"/>
          <w:szCs w:val="26"/>
        </w:rPr>
        <w:t xml:space="preserve">Вышеуказанные критерии являются предметом аналитического исследования </w:t>
      </w:r>
      <w:r w:rsidRPr="007229E2">
        <w:rPr>
          <w:rFonts w:ascii="Times New Roman" w:hAnsi="Times New Roman" w:cs="Times New Roman"/>
          <w:sz w:val="24"/>
          <w:szCs w:val="24"/>
        </w:rPr>
        <w:t>рациональности использования сельскохозяйственных угодий организации</w:t>
      </w:r>
      <w:r>
        <w:rPr>
          <w:rFonts w:ascii="Times New Roman" w:hAnsi="Times New Roman" w:cs="Times New Roman"/>
          <w:sz w:val="24"/>
          <w:szCs w:val="24"/>
        </w:rPr>
        <w:t>. Основной проблемой проведения такого аналитического исследования является отсутствие оперативных данных об уровне контролируемых показателей, т.к. агрохимическое обследование почв проводится с большим временным интервалом.</w:t>
      </w:r>
    </w:p>
    <w:p w14:paraId="130DC5BB" w14:textId="77777777" w:rsidR="006F1584" w:rsidRPr="007229E2" w:rsidRDefault="006F1584" w:rsidP="000C373A">
      <w:pPr>
        <w:spacing w:after="0" w:line="240" w:lineRule="auto"/>
        <w:ind w:firstLine="709"/>
        <w:jc w:val="both"/>
        <w:rPr>
          <w:rFonts w:ascii="Times New Roman" w:hAnsi="Times New Roman" w:cs="Times New Roman"/>
          <w:b/>
          <w:sz w:val="24"/>
          <w:szCs w:val="24"/>
        </w:rPr>
      </w:pPr>
    </w:p>
    <w:p w14:paraId="1267653D" w14:textId="77777777" w:rsidR="007229E2" w:rsidRPr="006F1584" w:rsidRDefault="007229E2" w:rsidP="007229E2">
      <w:pPr>
        <w:spacing w:after="0" w:line="240" w:lineRule="auto"/>
        <w:ind w:firstLine="709"/>
        <w:jc w:val="both"/>
        <w:rPr>
          <w:rFonts w:ascii="Times New Roman" w:hAnsi="Times New Roman" w:cs="Times New Roman"/>
          <w:b/>
          <w:sz w:val="24"/>
          <w:szCs w:val="24"/>
        </w:rPr>
      </w:pPr>
      <w:r w:rsidRPr="006F1584">
        <w:rPr>
          <w:rFonts w:ascii="Times New Roman" w:hAnsi="Times New Roman" w:cs="Times New Roman"/>
          <w:b/>
          <w:sz w:val="24"/>
          <w:szCs w:val="24"/>
        </w:rPr>
        <w:t>3 Анализ эффективности использования сельскохозяйственных угодий организации</w:t>
      </w:r>
    </w:p>
    <w:p w14:paraId="23A38185" w14:textId="77777777" w:rsidR="006F1584" w:rsidRPr="007229E2" w:rsidRDefault="006F1584" w:rsidP="000C373A">
      <w:pPr>
        <w:spacing w:after="0" w:line="240" w:lineRule="auto"/>
        <w:ind w:firstLine="709"/>
        <w:jc w:val="both"/>
        <w:rPr>
          <w:rFonts w:ascii="Times New Roman" w:hAnsi="Times New Roman" w:cs="Times New Roman"/>
          <w:b/>
          <w:sz w:val="24"/>
          <w:szCs w:val="24"/>
        </w:rPr>
      </w:pPr>
    </w:p>
    <w:p w14:paraId="52AC932C" w14:textId="77777777" w:rsidR="006F1584" w:rsidRDefault="006F1584" w:rsidP="007229E2">
      <w:pPr>
        <w:pStyle w:val="a3"/>
        <w:spacing w:before="0" w:beforeAutospacing="0" w:after="0" w:afterAutospacing="0"/>
        <w:ind w:firstLine="709"/>
        <w:jc w:val="both"/>
      </w:pPr>
      <w:r>
        <w:t>Для оценки эффективности использования земельных ресурсов</w:t>
      </w:r>
      <w:r w:rsidR="00C21177">
        <w:t xml:space="preserve"> сельскохозяйственной организации</w:t>
      </w:r>
      <w:r>
        <w:t xml:space="preserve"> применяется система обобщающих, частных и вспомогательных показателей.</w:t>
      </w:r>
    </w:p>
    <w:p w14:paraId="4196E03E" w14:textId="77777777" w:rsidR="006F1584" w:rsidRDefault="006F1584" w:rsidP="007229E2">
      <w:pPr>
        <w:pStyle w:val="a3"/>
        <w:spacing w:before="0" w:beforeAutospacing="0" w:after="0" w:afterAutospacing="0"/>
        <w:ind w:firstLine="709"/>
        <w:jc w:val="both"/>
      </w:pPr>
      <w:r>
        <w:rPr>
          <w:b/>
          <w:bCs/>
        </w:rPr>
        <w:t>К обобщающим</w:t>
      </w:r>
      <w:r w:rsidR="00C21177">
        <w:rPr>
          <w:b/>
          <w:bCs/>
        </w:rPr>
        <w:t xml:space="preserve"> </w:t>
      </w:r>
      <w:r>
        <w:t xml:space="preserve">показателям относятся: </w:t>
      </w:r>
      <w:r w:rsidR="00C21177">
        <w:t>выручка</w:t>
      </w:r>
      <w:r>
        <w:t xml:space="preserve">, </w:t>
      </w:r>
      <w:r w:rsidR="00C21177">
        <w:t xml:space="preserve">прибыль от продаж – в расчете на 100 га с.-х. угодий; </w:t>
      </w:r>
      <w:r>
        <w:t xml:space="preserve">выход кормовых единиц </w:t>
      </w:r>
      <w:r w:rsidR="00C21177">
        <w:t xml:space="preserve">в расчете </w:t>
      </w:r>
      <w:r>
        <w:t xml:space="preserve">на 100 га </w:t>
      </w:r>
      <w:r w:rsidR="00C21177">
        <w:t xml:space="preserve">кормовых </w:t>
      </w:r>
      <w:r>
        <w:t>угодий</w:t>
      </w:r>
      <w:r w:rsidR="00C21177">
        <w:t>.</w:t>
      </w:r>
    </w:p>
    <w:p w14:paraId="54257B85" w14:textId="77777777" w:rsidR="006F1584" w:rsidRDefault="006F1584" w:rsidP="007229E2">
      <w:pPr>
        <w:pStyle w:val="a3"/>
        <w:spacing w:before="0" w:beforeAutospacing="0" w:after="0" w:afterAutospacing="0"/>
        <w:ind w:firstLine="709"/>
        <w:jc w:val="both"/>
      </w:pPr>
      <w:r>
        <w:rPr>
          <w:b/>
          <w:bCs/>
          <w:i/>
          <w:iCs/>
        </w:rPr>
        <w:t>Частными</w:t>
      </w:r>
      <w:r>
        <w:t xml:space="preserve"> показателями являются урожайность культур, выход продукции в кормовых единицах с 1 га отдельных угодий, а также объём производства молока</w:t>
      </w:r>
      <w:r w:rsidR="00C21177">
        <w:t xml:space="preserve">, прироста живой массы сельскохозяйственных животных в расчете на </w:t>
      </w:r>
      <w:r>
        <w:t xml:space="preserve">100 га сельскохозяйственных угодий. </w:t>
      </w:r>
    </w:p>
    <w:p w14:paraId="3D0084B8" w14:textId="77777777" w:rsidR="006F1584" w:rsidRDefault="006F1584" w:rsidP="007229E2">
      <w:pPr>
        <w:pStyle w:val="a3"/>
        <w:spacing w:before="0" w:beforeAutospacing="0" w:after="0" w:afterAutospacing="0"/>
        <w:ind w:firstLine="709"/>
        <w:jc w:val="both"/>
      </w:pPr>
      <w:r>
        <w:rPr>
          <w:b/>
          <w:bCs/>
          <w:i/>
          <w:iCs/>
        </w:rPr>
        <w:t xml:space="preserve">Вспомогательные </w:t>
      </w:r>
      <w:r>
        <w:t xml:space="preserve">показатели – это себестоимость продукции, </w:t>
      </w:r>
      <w:r w:rsidR="00C21177">
        <w:t xml:space="preserve">ее </w:t>
      </w:r>
      <w:r>
        <w:t>трудоёмкость</w:t>
      </w:r>
      <w:r w:rsidR="00C21177">
        <w:t>.</w:t>
      </w:r>
    </w:p>
    <w:p w14:paraId="57F053CB" w14:textId="77777777" w:rsidR="006F1584" w:rsidRDefault="006F1584" w:rsidP="007229E2">
      <w:pPr>
        <w:pStyle w:val="a3"/>
        <w:spacing w:before="0" w:beforeAutospacing="0" w:after="0" w:afterAutospacing="0"/>
        <w:ind w:firstLine="709"/>
        <w:jc w:val="both"/>
      </w:pPr>
      <w:r>
        <w:t>В процессе анализа изучается динамика перечисленных показателей, выполнение плана по их уровню, проводится сравнительный анализ. Потом выявляются факторы и резервы повышения эффективности использования земельных ресурсов.</w:t>
      </w:r>
    </w:p>
    <w:p w14:paraId="39CB817E" w14:textId="77777777" w:rsidR="006F1584" w:rsidRDefault="006F1584" w:rsidP="007229E2">
      <w:pPr>
        <w:pStyle w:val="a3"/>
        <w:spacing w:before="0" w:beforeAutospacing="0" w:after="0" w:afterAutospacing="0"/>
        <w:ind w:firstLine="709"/>
        <w:jc w:val="both"/>
      </w:pPr>
      <w:r>
        <w:t>Важным фактором повышения эффективности использования земель является:</w:t>
      </w:r>
    </w:p>
    <w:p w14:paraId="4F338415" w14:textId="77777777" w:rsidR="006F1584" w:rsidRDefault="006F1584" w:rsidP="007229E2">
      <w:pPr>
        <w:pStyle w:val="a3"/>
        <w:spacing w:before="0" w:beforeAutospacing="0" w:after="0" w:afterAutospacing="0"/>
        <w:ind w:firstLine="709"/>
        <w:jc w:val="both"/>
      </w:pPr>
      <w:r>
        <w:t xml:space="preserve">1) </w:t>
      </w:r>
      <w:r w:rsidRPr="00C21177">
        <w:t>воспроизводство плодородия почвы.</w:t>
      </w:r>
      <w:r>
        <w:t xml:space="preserve"> Существуют средства быстрого и долгосрочного воздействия на почву.</w:t>
      </w:r>
    </w:p>
    <w:p w14:paraId="065EF425" w14:textId="77777777" w:rsidR="006F1584" w:rsidRDefault="006F1584" w:rsidP="007229E2">
      <w:pPr>
        <w:pStyle w:val="a3"/>
        <w:spacing w:before="0" w:beforeAutospacing="0" w:after="0" w:afterAutospacing="0"/>
        <w:ind w:firstLine="709"/>
        <w:jc w:val="both"/>
      </w:pPr>
      <w:r>
        <w:t>К средствам быстрого воздействия относятся:</w:t>
      </w:r>
    </w:p>
    <w:p w14:paraId="03C8F31B" w14:textId="77777777" w:rsidR="006F1584" w:rsidRDefault="006F1584" w:rsidP="007229E2">
      <w:pPr>
        <w:pStyle w:val="a3"/>
        <w:spacing w:before="0" w:beforeAutospacing="0" w:after="0" w:afterAutospacing="0"/>
        <w:ind w:firstLine="709"/>
        <w:jc w:val="both"/>
      </w:pPr>
      <w:r>
        <w:t>1. Регулирование влажности почв;</w:t>
      </w:r>
    </w:p>
    <w:p w14:paraId="4F23071C" w14:textId="77777777" w:rsidR="006F1584" w:rsidRDefault="006F1584" w:rsidP="007229E2">
      <w:pPr>
        <w:pStyle w:val="a3"/>
        <w:spacing w:before="0" w:beforeAutospacing="0" w:after="0" w:afterAutospacing="0"/>
        <w:ind w:firstLine="709"/>
        <w:jc w:val="both"/>
      </w:pPr>
      <w:r>
        <w:t>2. Внесение быстродействующих минеральных удобрений;</w:t>
      </w:r>
    </w:p>
    <w:p w14:paraId="0DD48EC6" w14:textId="77777777" w:rsidR="006F1584" w:rsidRDefault="006F1584" w:rsidP="007229E2">
      <w:pPr>
        <w:pStyle w:val="a3"/>
        <w:spacing w:before="0" w:beforeAutospacing="0" w:after="0" w:afterAutospacing="0"/>
        <w:ind w:firstLine="709"/>
        <w:jc w:val="both"/>
      </w:pPr>
      <w:r>
        <w:t>Долгосрочное формирование плодородия включает:</w:t>
      </w:r>
    </w:p>
    <w:p w14:paraId="2E75EDFD" w14:textId="77777777" w:rsidR="006F1584" w:rsidRDefault="006F1584" w:rsidP="007229E2">
      <w:pPr>
        <w:pStyle w:val="a3"/>
        <w:spacing w:before="0" w:beforeAutospacing="0" w:after="0" w:afterAutospacing="0"/>
        <w:ind w:firstLine="709"/>
        <w:jc w:val="both"/>
      </w:pPr>
      <w:r>
        <w:t>1. Внесение органических удобрений;</w:t>
      </w:r>
    </w:p>
    <w:p w14:paraId="7D37D541" w14:textId="77777777" w:rsidR="006F1584" w:rsidRDefault="006F1584" w:rsidP="007229E2">
      <w:pPr>
        <w:pStyle w:val="a3"/>
        <w:spacing w:before="0" w:beforeAutospacing="0" w:after="0" w:afterAutospacing="0"/>
        <w:ind w:firstLine="709"/>
        <w:jc w:val="both"/>
      </w:pPr>
      <w:r>
        <w:t>2. Известкование кислых почв;</w:t>
      </w:r>
    </w:p>
    <w:p w14:paraId="61FD105A" w14:textId="77777777" w:rsidR="006F1584" w:rsidRDefault="006F1584" w:rsidP="007229E2">
      <w:pPr>
        <w:pStyle w:val="a3"/>
        <w:spacing w:before="0" w:beforeAutospacing="0" w:after="0" w:afterAutospacing="0"/>
        <w:ind w:firstLine="709"/>
        <w:jc w:val="both"/>
      </w:pPr>
      <w:r>
        <w:t>3. Мелиорация земель.</w:t>
      </w:r>
    </w:p>
    <w:p w14:paraId="446942B5" w14:textId="77777777" w:rsidR="006F1584" w:rsidRDefault="006F1584" w:rsidP="007229E2">
      <w:pPr>
        <w:pStyle w:val="a3"/>
        <w:spacing w:before="0" w:beforeAutospacing="0" w:after="0" w:afterAutospacing="0"/>
        <w:ind w:firstLine="709"/>
        <w:jc w:val="both"/>
      </w:pPr>
      <w:r>
        <w:t>Главным источником пополнения гумуса в почве являются органические удобрения. При внесении только минеральных удобрений без органических, содержание гумуса в почве снижается из года в год. Поэтому минеральные удобрения рекомендуется вносить в сочетание с органическими. Для обеспечения положительного баланса гумуса необходимо вносить ежегодно не менее 13-15 т органических удобрений на 1 га пашни.</w:t>
      </w:r>
    </w:p>
    <w:p w14:paraId="1530F6D1" w14:textId="77777777" w:rsidR="006F1584" w:rsidRDefault="006F1584" w:rsidP="007229E2">
      <w:pPr>
        <w:pStyle w:val="a3"/>
        <w:spacing w:before="0" w:beforeAutospacing="0" w:after="0" w:afterAutospacing="0"/>
        <w:ind w:firstLine="709"/>
        <w:jc w:val="both"/>
      </w:pPr>
      <w:r>
        <w:t xml:space="preserve">Для поддержания бездефицитного баланса гумуса необходимо расширять посевы многолетних трав и </w:t>
      </w:r>
      <w:proofErr w:type="spellStart"/>
      <w:r>
        <w:t>сидеральных</w:t>
      </w:r>
      <w:proofErr w:type="spellEnd"/>
      <w:r>
        <w:t xml:space="preserve"> культур. После распашки многолетних трав содержание гумуса повышается на 0,2-0,3%. Продуктивность земель при посеве </w:t>
      </w:r>
      <w:proofErr w:type="spellStart"/>
      <w:r>
        <w:t>сидеральных</w:t>
      </w:r>
      <w:proofErr w:type="spellEnd"/>
      <w:r>
        <w:t xml:space="preserve"> культур в сочетании с внесением навоза повышается на 18-20%.</w:t>
      </w:r>
    </w:p>
    <w:p w14:paraId="12797A55" w14:textId="77777777" w:rsidR="006F1584" w:rsidRDefault="006F1584" w:rsidP="007229E2">
      <w:pPr>
        <w:pStyle w:val="a3"/>
        <w:spacing w:before="0" w:beforeAutospacing="0" w:after="0" w:afterAutospacing="0"/>
        <w:ind w:firstLine="709"/>
        <w:jc w:val="both"/>
      </w:pPr>
      <w:r>
        <w:t>Существенным фактором повышения продуктивности земель является</w:t>
      </w:r>
      <w:r w:rsidR="00C21177">
        <w:t xml:space="preserve"> </w:t>
      </w:r>
      <w:r w:rsidRPr="00C21177">
        <w:t>регулирование водного режима:</w:t>
      </w:r>
      <w:r>
        <w:t xml:space="preserve"> отвод фильтрационных вод во влажные годы и орошение в засушливые годы.</w:t>
      </w:r>
    </w:p>
    <w:p w14:paraId="5956D084" w14:textId="77777777" w:rsidR="006F1584" w:rsidRDefault="006F1584" w:rsidP="007229E2">
      <w:pPr>
        <w:pStyle w:val="a3"/>
        <w:spacing w:before="0" w:beforeAutospacing="0" w:after="0" w:afterAutospacing="0"/>
        <w:ind w:firstLine="709"/>
        <w:jc w:val="both"/>
      </w:pPr>
      <w:r>
        <w:t>Важным условием охраны и национального использования земли служит</w:t>
      </w:r>
      <w:r w:rsidR="00C21177">
        <w:t xml:space="preserve"> с</w:t>
      </w:r>
      <w:r w:rsidRPr="00C21177">
        <w:t>истема мероприятий по защите почвы от водной и ветровой эрозии</w:t>
      </w:r>
      <w:r w:rsidR="00C21177">
        <w:rPr>
          <w:u w:val="single"/>
        </w:rPr>
        <w:t xml:space="preserve"> </w:t>
      </w:r>
      <w:r>
        <w:t>(это минимальная и безотвальная обработка почвы, почвозащитные севообороты и др.).</w:t>
      </w:r>
    </w:p>
    <w:p w14:paraId="728A3649" w14:textId="77777777" w:rsidR="006F1584" w:rsidRDefault="00C21177" w:rsidP="007229E2">
      <w:pPr>
        <w:pStyle w:val="a3"/>
        <w:spacing w:before="0" w:beforeAutospacing="0" w:after="0" w:afterAutospacing="0"/>
        <w:ind w:firstLine="709"/>
        <w:jc w:val="both"/>
      </w:pPr>
      <w:r>
        <w:t>Ф</w:t>
      </w:r>
      <w:r w:rsidR="006F1584">
        <w:t>актор</w:t>
      </w:r>
      <w:r>
        <w:t>ами</w:t>
      </w:r>
      <w:r w:rsidR="006F1584">
        <w:t xml:space="preserve"> повышения продуктивности земель </w:t>
      </w:r>
      <w:r>
        <w:t>являются:</w:t>
      </w:r>
    </w:p>
    <w:p w14:paraId="3B5182A9" w14:textId="77777777" w:rsidR="006F1584" w:rsidRDefault="00C21177" w:rsidP="007229E2">
      <w:pPr>
        <w:pStyle w:val="a3"/>
        <w:spacing w:before="0" w:beforeAutospacing="0" w:after="0" w:afterAutospacing="0"/>
        <w:ind w:firstLine="709"/>
        <w:jc w:val="both"/>
      </w:pPr>
      <w:r w:rsidRPr="00C21177">
        <w:lastRenderedPageBreak/>
        <w:t>б</w:t>
      </w:r>
      <w:r w:rsidR="006F1584" w:rsidRPr="00C21177">
        <w:t>орьба с переуплотнением почв.</w:t>
      </w:r>
      <w:r w:rsidR="006F1584">
        <w:rPr>
          <w:u w:val="single"/>
        </w:rPr>
        <w:t xml:space="preserve"> </w:t>
      </w:r>
      <w:r w:rsidR="006F1584">
        <w:t>Уплотнение земель уменьшается при использовании более лёгкой техники, широкозахватных почвообрабатывающих машин, сокращение и совмещение операций при обработк</w:t>
      </w:r>
      <w:r>
        <w:t>е, посеве и уходе за растениями;</w:t>
      </w:r>
    </w:p>
    <w:p w14:paraId="410E55DA" w14:textId="77777777" w:rsidR="006F1584" w:rsidRDefault="00C21177" w:rsidP="007229E2">
      <w:pPr>
        <w:pStyle w:val="a3"/>
        <w:spacing w:before="0" w:beforeAutospacing="0" w:after="0" w:afterAutospacing="0"/>
        <w:ind w:firstLine="709"/>
        <w:jc w:val="both"/>
      </w:pPr>
      <w:r w:rsidRPr="00C21177">
        <w:t>б</w:t>
      </w:r>
      <w:r w:rsidR="006F1584" w:rsidRPr="00C21177">
        <w:t>орьба с сорняками и вредителями сельскохозяйственных культур.</w:t>
      </w:r>
      <w:r w:rsidR="006F1584">
        <w:t xml:space="preserve"> По оценке специалистов, потери урожая по этой причине составляют до 35%. Основные способы защиты растений – биологические, механические и </w:t>
      </w:r>
      <w:r>
        <w:t>химические;</w:t>
      </w:r>
    </w:p>
    <w:p w14:paraId="5E005879" w14:textId="77777777" w:rsidR="006F1584" w:rsidRPr="00C21177" w:rsidRDefault="00C21177" w:rsidP="007229E2">
      <w:pPr>
        <w:pStyle w:val="a3"/>
        <w:spacing w:before="0" w:beforeAutospacing="0" w:after="0" w:afterAutospacing="0"/>
        <w:ind w:firstLine="709"/>
        <w:jc w:val="both"/>
      </w:pPr>
      <w:r w:rsidRPr="00C21177">
        <w:t>и</w:t>
      </w:r>
      <w:r w:rsidR="006F1584" w:rsidRPr="00C21177">
        <w:t>звесткование кислых и гипсование засоленных почв</w:t>
      </w:r>
      <w:r w:rsidRPr="00C21177">
        <w:t>;</w:t>
      </w:r>
    </w:p>
    <w:p w14:paraId="4E4EF059" w14:textId="77777777" w:rsidR="006F1584" w:rsidRDefault="00C21177" w:rsidP="007229E2">
      <w:pPr>
        <w:pStyle w:val="a3"/>
        <w:spacing w:before="0" w:beforeAutospacing="0" w:after="0" w:afterAutospacing="0"/>
        <w:ind w:firstLine="709"/>
        <w:jc w:val="both"/>
      </w:pPr>
      <w:r w:rsidRPr="00C21177">
        <w:t>у</w:t>
      </w:r>
      <w:r w:rsidR="006F1584" w:rsidRPr="00C21177">
        <w:t>лучшение естественных кормовых угодий</w:t>
      </w:r>
      <w:r>
        <w:t xml:space="preserve"> (сенокосов и пастбищ</w:t>
      </w:r>
      <w:r w:rsidR="006F1584">
        <w:t>), занимающих значительный удельный вес в общей площ</w:t>
      </w:r>
      <w:r>
        <w:t>ади сельскохозяйственных угодий;</w:t>
      </w:r>
    </w:p>
    <w:p w14:paraId="456770BB" w14:textId="77777777" w:rsidR="006F1584" w:rsidRDefault="00C21177" w:rsidP="007229E2">
      <w:pPr>
        <w:pStyle w:val="a3"/>
        <w:spacing w:before="0" w:beforeAutospacing="0" w:after="0" w:afterAutospacing="0"/>
        <w:ind w:firstLine="709"/>
        <w:jc w:val="both"/>
      </w:pPr>
      <w:r w:rsidRPr="00C21177">
        <w:t>п</w:t>
      </w:r>
      <w:r w:rsidR="006F1584" w:rsidRPr="00C21177">
        <w:t>рименение интенсивных технологий выращивания культур,</w:t>
      </w:r>
      <w:r w:rsidR="006F1584">
        <w:t xml:space="preserve"> использование районированных сортов, совершенствование структуры посевов, проведение полевых работ в оптимальные сроки, улучшение организации труда и т. д.</w:t>
      </w:r>
    </w:p>
    <w:p w14:paraId="2C5C8D14" w14:textId="77777777" w:rsidR="006F1584" w:rsidRDefault="006F1584" w:rsidP="007229E2">
      <w:pPr>
        <w:pStyle w:val="a3"/>
        <w:spacing w:before="0" w:beforeAutospacing="0" w:after="0" w:afterAutospacing="0"/>
        <w:ind w:firstLine="709"/>
        <w:jc w:val="both"/>
      </w:pPr>
      <w:r>
        <w:t>Влияние перечисленных факторов на эффективность использования земли устанавливается при сравнении выхода продукции или прибыли с 1 га земельных участков, на которых проводилось соответствующее мероприятие, и участков, где оно не проводилось.</w:t>
      </w:r>
    </w:p>
    <w:p w14:paraId="759CF541" w14:textId="77777777" w:rsidR="006F1584" w:rsidRDefault="006F1584" w:rsidP="007229E2">
      <w:pPr>
        <w:jc w:val="both"/>
        <w:rPr>
          <w:rFonts w:ascii="Times New Roman" w:hAnsi="Times New Roman" w:cs="Times New Roman"/>
          <w:b/>
          <w:sz w:val="24"/>
          <w:szCs w:val="24"/>
        </w:rPr>
      </w:pPr>
      <w:r>
        <w:rPr>
          <w:rFonts w:ascii="Times New Roman" w:hAnsi="Times New Roman" w:cs="Times New Roman"/>
          <w:b/>
          <w:sz w:val="24"/>
          <w:szCs w:val="24"/>
        </w:rPr>
        <w:br w:type="page"/>
      </w:r>
    </w:p>
    <w:sectPr w:rsidR="006F1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BA5"/>
    <w:multiLevelType w:val="multilevel"/>
    <w:tmpl w:val="DA2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A1E0B"/>
    <w:multiLevelType w:val="multilevel"/>
    <w:tmpl w:val="A7C018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7653B"/>
    <w:multiLevelType w:val="multilevel"/>
    <w:tmpl w:val="9E64D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761DE3"/>
    <w:multiLevelType w:val="multilevel"/>
    <w:tmpl w:val="7AE41D6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D01C44"/>
    <w:multiLevelType w:val="multilevel"/>
    <w:tmpl w:val="0B5E97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01F77"/>
    <w:multiLevelType w:val="multilevel"/>
    <w:tmpl w:val="A5E035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060715"/>
    <w:multiLevelType w:val="multilevel"/>
    <w:tmpl w:val="BEB80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4EC"/>
    <w:rsid w:val="000B497B"/>
    <w:rsid w:val="000C373A"/>
    <w:rsid w:val="001F4C84"/>
    <w:rsid w:val="00315FE2"/>
    <w:rsid w:val="005174EC"/>
    <w:rsid w:val="005E0EDD"/>
    <w:rsid w:val="005E463F"/>
    <w:rsid w:val="00693822"/>
    <w:rsid w:val="006F1584"/>
    <w:rsid w:val="006F173A"/>
    <w:rsid w:val="007229E2"/>
    <w:rsid w:val="008D569C"/>
    <w:rsid w:val="00976A1C"/>
    <w:rsid w:val="00A03372"/>
    <w:rsid w:val="00A11B33"/>
    <w:rsid w:val="00BC0343"/>
    <w:rsid w:val="00C21177"/>
    <w:rsid w:val="00CA3C7A"/>
    <w:rsid w:val="00CC7E7C"/>
    <w:rsid w:val="00CD0509"/>
    <w:rsid w:val="00E31C1B"/>
    <w:rsid w:val="00E93F78"/>
    <w:rsid w:val="00F42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117A"/>
  <w15:docId w15:val="{49702790-09E7-40BE-836C-03C2901A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1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29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29E2"/>
    <w:rPr>
      <w:rFonts w:ascii="Tahoma" w:hAnsi="Tahoma" w:cs="Tahoma"/>
      <w:sz w:val="16"/>
      <w:szCs w:val="16"/>
    </w:rPr>
  </w:style>
  <w:style w:type="paragraph" w:styleId="2">
    <w:name w:val="Body Text Indent 2"/>
    <w:basedOn w:val="a"/>
    <w:link w:val="20"/>
    <w:uiPriority w:val="99"/>
    <w:semiHidden/>
    <w:unhideWhenUsed/>
    <w:rsid w:val="008D569C"/>
    <w:pPr>
      <w:spacing w:after="120" w:line="480" w:lineRule="auto"/>
      <w:ind w:left="283"/>
    </w:pPr>
  </w:style>
  <w:style w:type="character" w:customStyle="1" w:styleId="20">
    <w:name w:val="Основной текст с отступом 2 Знак"/>
    <w:basedOn w:val="a0"/>
    <w:link w:val="2"/>
    <w:uiPriority w:val="99"/>
    <w:semiHidden/>
    <w:rsid w:val="008D569C"/>
  </w:style>
  <w:style w:type="paragraph" w:customStyle="1" w:styleId="11">
    <w:name w:val="Знак Знак11"/>
    <w:basedOn w:val="a"/>
    <w:rsid w:val="008D569C"/>
    <w:pPr>
      <w:tabs>
        <w:tab w:val="num" w:pos="643"/>
      </w:tabs>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65702">
      <w:bodyDiv w:val="1"/>
      <w:marLeft w:val="0"/>
      <w:marRight w:val="0"/>
      <w:marTop w:val="0"/>
      <w:marBottom w:val="0"/>
      <w:divBdr>
        <w:top w:val="none" w:sz="0" w:space="0" w:color="auto"/>
        <w:left w:val="none" w:sz="0" w:space="0" w:color="auto"/>
        <w:bottom w:val="none" w:sz="0" w:space="0" w:color="auto"/>
        <w:right w:val="none" w:sz="0" w:space="0" w:color="auto"/>
      </w:divBdr>
      <w:divsChild>
        <w:div w:id="1314606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3586">
          <w:marLeft w:val="0"/>
          <w:marRight w:val="0"/>
          <w:marTop w:val="0"/>
          <w:marBottom w:val="0"/>
          <w:divBdr>
            <w:top w:val="none" w:sz="0" w:space="0" w:color="auto"/>
            <w:left w:val="none" w:sz="0" w:space="0" w:color="auto"/>
            <w:bottom w:val="none" w:sz="0" w:space="0" w:color="auto"/>
            <w:right w:val="none" w:sz="0" w:space="0" w:color="auto"/>
          </w:divBdr>
        </w:div>
        <w:div w:id="965432080">
          <w:marLeft w:val="0"/>
          <w:marRight w:val="0"/>
          <w:marTop w:val="0"/>
          <w:marBottom w:val="0"/>
          <w:divBdr>
            <w:top w:val="none" w:sz="0" w:space="0" w:color="auto"/>
            <w:left w:val="none" w:sz="0" w:space="0" w:color="auto"/>
            <w:bottom w:val="none" w:sz="0" w:space="0" w:color="auto"/>
            <w:right w:val="none" w:sz="0" w:space="0" w:color="auto"/>
          </w:divBdr>
        </w:div>
        <w:div w:id="103889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949905">
      <w:bodyDiv w:val="1"/>
      <w:marLeft w:val="0"/>
      <w:marRight w:val="0"/>
      <w:marTop w:val="0"/>
      <w:marBottom w:val="0"/>
      <w:divBdr>
        <w:top w:val="none" w:sz="0" w:space="0" w:color="auto"/>
        <w:left w:val="none" w:sz="0" w:space="0" w:color="auto"/>
        <w:bottom w:val="none" w:sz="0" w:space="0" w:color="auto"/>
        <w:right w:val="none" w:sz="0" w:space="0" w:color="auto"/>
      </w:divBdr>
    </w:div>
    <w:div w:id="716390850">
      <w:bodyDiv w:val="1"/>
      <w:marLeft w:val="0"/>
      <w:marRight w:val="0"/>
      <w:marTop w:val="0"/>
      <w:marBottom w:val="0"/>
      <w:divBdr>
        <w:top w:val="none" w:sz="0" w:space="0" w:color="auto"/>
        <w:left w:val="none" w:sz="0" w:space="0" w:color="auto"/>
        <w:bottom w:val="none" w:sz="0" w:space="0" w:color="auto"/>
        <w:right w:val="none" w:sz="0" w:space="0" w:color="auto"/>
      </w:divBdr>
      <w:divsChild>
        <w:div w:id="738329406">
          <w:marLeft w:val="0"/>
          <w:marRight w:val="0"/>
          <w:marTop w:val="0"/>
          <w:marBottom w:val="0"/>
          <w:divBdr>
            <w:top w:val="none" w:sz="0" w:space="0" w:color="auto"/>
            <w:left w:val="none" w:sz="0" w:space="0" w:color="auto"/>
            <w:bottom w:val="none" w:sz="0" w:space="0" w:color="auto"/>
            <w:right w:val="none" w:sz="0" w:space="0" w:color="auto"/>
          </w:divBdr>
        </w:div>
        <w:div w:id="758213396">
          <w:marLeft w:val="0"/>
          <w:marRight w:val="0"/>
          <w:marTop w:val="0"/>
          <w:marBottom w:val="0"/>
          <w:divBdr>
            <w:top w:val="none" w:sz="0" w:space="0" w:color="auto"/>
            <w:left w:val="none" w:sz="0" w:space="0" w:color="auto"/>
            <w:bottom w:val="none" w:sz="0" w:space="0" w:color="auto"/>
            <w:right w:val="none" w:sz="0" w:space="0" w:color="auto"/>
          </w:divBdr>
          <w:divsChild>
            <w:div w:id="2082750590">
              <w:marLeft w:val="0"/>
              <w:marRight w:val="0"/>
              <w:marTop w:val="0"/>
              <w:marBottom w:val="0"/>
              <w:divBdr>
                <w:top w:val="none" w:sz="0" w:space="0" w:color="auto"/>
                <w:left w:val="none" w:sz="0" w:space="0" w:color="auto"/>
                <w:bottom w:val="none" w:sz="0" w:space="0" w:color="auto"/>
                <w:right w:val="none" w:sz="0" w:space="0" w:color="auto"/>
              </w:divBdr>
            </w:div>
          </w:divsChild>
        </w:div>
        <w:div w:id="1046445013">
          <w:marLeft w:val="0"/>
          <w:marRight w:val="0"/>
          <w:marTop w:val="0"/>
          <w:marBottom w:val="0"/>
          <w:divBdr>
            <w:top w:val="none" w:sz="0" w:space="0" w:color="auto"/>
            <w:left w:val="none" w:sz="0" w:space="0" w:color="auto"/>
            <w:bottom w:val="none" w:sz="0" w:space="0" w:color="auto"/>
            <w:right w:val="none" w:sz="0" w:space="0" w:color="auto"/>
          </w:divBdr>
          <w:divsChild>
            <w:div w:id="300500692">
              <w:marLeft w:val="0"/>
              <w:marRight w:val="0"/>
              <w:marTop w:val="0"/>
              <w:marBottom w:val="0"/>
              <w:divBdr>
                <w:top w:val="none" w:sz="0" w:space="0" w:color="auto"/>
                <w:left w:val="none" w:sz="0" w:space="0" w:color="auto"/>
                <w:bottom w:val="none" w:sz="0" w:space="0" w:color="auto"/>
                <w:right w:val="none" w:sz="0" w:space="0" w:color="auto"/>
              </w:divBdr>
            </w:div>
          </w:divsChild>
        </w:div>
        <w:div w:id="1009135317">
          <w:marLeft w:val="0"/>
          <w:marRight w:val="0"/>
          <w:marTop w:val="0"/>
          <w:marBottom w:val="0"/>
          <w:divBdr>
            <w:top w:val="none" w:sz="0" w:space="0" w:color="auto"/>
            <w:left w:val="none" w:sz="0" w:space="0" w:color="auto"/>
            <w:bottom w:val="none" w:sz="0" w:space="0" w:color="auto"/>
            <w:right w:val="none" w:sz="0" w:space="0" w:color="auto"/>
          </w:divBdr>
        </w:div>
      </w:divsChild>
    </w:div>
    <w:div w:id="1030228887">
      <w:bodyDiv w:val="1"/>
      <w:marLeft w:val="0"/>
      <w:marRight w:val="0"/>
      <w:marTop w:val="0"/>
      <w:marBottom w:val="0"/>
      <w:divBdr>
        <w:top w:val="none" w:sz="0" w:space="0" w:color="auto"/>
        <w:left w:val="none" w:sz="0" w:space="0" w:color="auto"/>
        <w:bottom w:val="none" w:sz="0" w:space="0" w:color="auto"/>
        <w:right w:val="none" w:sz="0" w:space="0" w:color="auto"/>
      </w:divBdr>
    </w:div>
    <w:div w:id="1302151485">
      <w:bodyDiv w:val="1"/>
      <w:marLeft w:val="0"/>
      <w:marRight w:val="0"/>
      <w:marTop w:val="0"/>
      <w:marBottom w:val="0"/>
      <w:divBdr>
        <w:top w:val="none" w:sz="0" w:space="0" w:color="auto"/>
        <w:left w:val="none" w:sz="0" w:space="0" w:color="auto"/>
        <w:bottom w:val="none" w:sz="0" w:space="0" w:color="auto"/>
        <w:right w:val="none" w:sz="0" w:space="0" w:color="auto"/>
      </w:divBdr>
    </w:div>
    <w:div w:id="1516966693">
      <w:bodyDiv w:val="1"/>
      <w:marLeft w:val="0"/>
      <w:marRight w:val="0"/>
      <w:marTop w:val="0"/>
      <w:marBottom w:val="0"/>
      <w:divBdr>
        <w:top w:val="none" w:sz="0" w:space="0" w:color="auto"/>
        <w:left w:val="none" w:sz="0" w:space="0" w:color="auto"/>
        <w:bottom w:val="none" w:sz="0" w:space="0" w:color="auto"/>
        <w:right w:val="none" w:sz="0" w:space="0" w:color="auto"/>
      </w:divBdr>
    </w:div>
    <w:div w:id="1699161017">
      <w:bodyDiv w:val="1"/>
      <w:marLeft w:val="0"/>
      <w:marRight w:val="0"/>
      <w:marTop w:val="0"/>
      <w:marBottom w:val="0"/>
      <w:divBdr>
        <w:top w:val="none" w:sz="0" w:space="0" w:color="auto"/>
        <w:left w:val="none" w:sz="0" w:space="0" w:color="auto"/>
        <w:bottom w:val="none" w:sz="0" w:space="0" w:color="auto"/>
        <w:right w:val="none" w:sz="0" w:space="0" w:color="auto"/>
      </w:divBdr>
    </w:div>
    <w:div w:id="1707290426">
      <w:bodyDiv w:val="1"/>
      <w:marLeft w:val="0"/>
      <w:marRight w:val="0"/>
      <w:marTop w:val="0"/>
      <w:marBottom w:val="0"/>
      <w:divBdr>
        <w:top w:val="none" w:sz="0" w:space="0" w:color="auto"/>
        <w:left w:val="none" w:sz="0" w:space="0" w:color="auto"/>
        <w:bottom w:val="none" w:sz="0" w:space="0" w:color="auto"/>
        <w:right w:val="none" w:sz="0" w:space="0" w:color="auto"/>
      </w:divBdr>
      <w:divsChild>
        <w:div w:id="183279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7462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8026">
          <w:marLeft w:val="0"/>
          <w:marRight w:val="0"/>
          <w:marTop w:val="0"/>
          <w:marBottom w:val="0"/>
          <w:divBdr>
            <w:top w:val="none" w:sz="0" w:space="0" w:color="auto"/>
            <w:left w:val="none" w:sz="0" w:space="0" w:color="auto"/>
            <w:bottom w:val="none" w:sz="0" w:space="0" w:color="auto"/>
            <w:right w:val="none" w:sz="0" w:space="0" w:color="auto"/>
          </w:divBdr>
        </w:div>
        <w:div w:id="172328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61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5008806">
          <w:blockQuote w:val="1"/>
          <w:marLeft w:val="720"/>
          <w:marRight w:val="720"/>
          <w:marTop w:val="100"/>
          <w:marBottom w:val="100"/>
          <w:divBdr>
            <w:top w:val="none" w:sz="0" w:space="0" w:color="auto"/>
            <w:left w:val="none" w:sz="0" w:space="0" w:color="auto"/>
            <w:bottom w:val="none" w:sz="0" w:space="0" w:color="auto"/>
            <w:right w:val="none" w:sz="0" w:space="0" w:color="auto"/>
          </w:divBdr>
        </w:div>
        <w:div w:id="63367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781800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557354">
          <w:marLeft w:val="0"/>
          <w:marRight w:val="0"/>
          <w:marTop w:val="0"/>
          <w:marBottom w:val="0"/>
          <w:divBdr>
            <w:top w:val="none" w:sz="0" w:space="0" w:color="auto"/>
            <w:left w:val="none" w:sz="0" w:space="0" w:color="auto"/>
            <w:bottom w:val="none" w:sz="0" w:space="0" w:color="auto"/>
            <w:right w:val="none" w:sz="0" w:space="0" w:color="auto"/>
          </w:divBdr>
        </w:div>
        <w:div w:id="49694087">
          <w:marLeft w:val="0"/>
          <w:marRight w:val="0"/>
          <w:marTop w:val="0"/>
          <w:marBottom w:val="0"/>
          <w:divBdr>
            <w:top w:val="none" w:sz="0" w:space="0" w:color="auto"/>
            <w:left w:val="none" w:sz="0" w:space="0" w:color="auto"/>
            <w:bottom w:val="none" w:sz="0" w:space="0" w:color="auto"/>
            <w:right w:val="none" w:sz="0" w:space="0" w:color="auto"/>
          </w:divBdr>
        </w:div>
      </w:divsChild>
    </w:div>
    <w:div w:id="1758597709">
      <w:bodyDiv w:val="1"/>
      <w:marLeft w:val="0"/>
      <w:marRight w:val="0"/>
      <w:marTop w:val="0"/>
      <w:marBottom w:val="0"/>
      <w:divBdr>
        <w:top w:val="none" w:sz="0" w:space="0" w:color="auto"/>
        <w:left w:val="none" w:sz="0" w:space="0" w:color="auto"/>
        <w:bottom w:val="none" w:sz="0" w:space="0" w:color="auto"/>
        <w:right w:val="none" w:sz="0" w:space="0" w:color="auto"/>
      </w:divBdr>
      <w:divsChild>
        <w:div w:id="629559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9222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79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40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6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31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612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87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76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86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5472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9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09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79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581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76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5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3030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28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1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69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38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02C1CB2BC3B4D67EC785124DC6869B2E73EA6F8C10522384A733C6FC0869F3A6ABEDA4324763112740AE69832ADA5A746354827D99AB20D563W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28B70619AA3560BAB8E305AC02C11A7BB9495FB986683F242198C4B421599C2DC844123E37521BF8A19B760025S9I" TargetMode="External"/><Relationship Id="rId11" Type="http://schemas.openxmlformats.org/officeDocument/2006/relationships/fontTable" Target="fontTable.xml"/><Relationship Id="rId5" Type="http://schemas.openxmlformats.org/officeDocument/2006/relationships/hyperlink" Target="consultantplus://offline/ref=4228B70619AA3560BAB8E305AC02C11A7BB9495EBC87683F242198C4B421599C2DC844123E37521BF8A19B760025S9I" TargetMode="External"/><Relationship Id="rId10" Type="http://schemas.openxmlformats.org/officeDocument/2006/relationships/hyperlink" Target="consultantplus://offline/ref=2E884B9489E787539BAC135E13468224610BDE79EB058E734B8C1BB0C2510A7689E7865846207901F123630666J4Y7I" TargetMode="Externa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6</Pages>
  <Words>2143</Words>
  <Characters>12216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prorektor-uch</dc:creator>
  <cp:keywords/>
  <dc:description/>
  <cp:lastModifiedBy>PGAU</cp:lastModifiedBy>
  <cp:revision>6</cp:revision>
  <dcterms:created xsi:type="dcterms:W3CDTF">2020-12-02T07:33:00Z</dcterms:created>
  <dcterms:modified xsi:type="dcterms:W3CDTF">2024-02-05T11:01:00Z</dcterms:modified>
</cp:coreProperties>
</file>