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FD" w:rsidRPr="001A754E" w:rsidRDefault="00152CFD" w:rsidP="001A75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A754E">
        <w:rPr>
          <w:rFonts w:ascii="Times New Roman" w:hAnsi="Times New Roman" w:cs="Times New Roman"/>
          <w:b/>
          <w:sz w:val="32"/>
          <w:szCs w:val="28"/>
        </w:rPr>
        <w:t>Анализ зерновой отрасли Пензенской области.</w:t>
      </w:r>
    </w:p>
    <w:p w:rsidR="00152CFD" w:rsidRPr="00CB118D" w:rsidRDefault="00152CFD" w:rsidP="004E6B91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>Роль и место зерновой отрасли.</w:t>
      </w:r>
    </w:p>
    <w:p w:rsidR="00B64DCF" w:rsidRPr="00CB118D" w:rsidRDefault="00152CFD" w:rsidP="00B85C96">
      <w:pPr>
        <w:ind w:firstLine="35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18D">
        <w:rPr>
          <w:rFonts w:ascii="Times New Roman" w:hAnsi="Times New Roman" w:cs="Times New Roman"/>
          <w:sz w:val="28"/>
          <w:szCs w:val="28"/>
        </w:rPr>
        <w:t xml:space="preserve">Зерновое хозяйство является важнейшей отраслью сельского хозяйства Пензенской области. Общая площадь посевов сельскохозяйственных культур Пензенской области в 2020 году составила </w:t>
      </w:r>
      <w:r w:rsidR="00B12C9C" w:rsidRPr="00CB118D">
        <w:rPr>
          <w:rFonts w:ascii="Times New Roman" w:hAnsi="Times New Roman" w:cs="Times New Roman"/>
          <w:sz w:val="28"/>
          <w:szCs w:val="28"/>
        </w:rPr>
        <w:t>1453,3 тыс. га и к уровню 2011 года увеличилась на 300,1 тыс. га (или на 26%)</w:t>
      </w:r>
      <w:r w:rsidR="00334077" w:rsidRPr="00CB118D">
        <w:rPr>
          <w:rFonts w:ascii="Times New Roman" w:hAnsi="Times New Roman" w:cs="Times New Roman"/>
          <w:sz w:val="28"/>
          <w:szCs w:val="28"/>
        </w:rPr>
        <w:t>, в</w:t>
      </w:r>
      <w:r w:rsidR="00B12C9C" w:rsidRPr="00CB118D">
        <w:rPr>
          <w:rFonts w:ascii="Times New Roman" w:hAnsi="Times New Roman" w:cs="Times New Roman"/>
          <w:sz w:val="28"/>
          <w:szCs w:val="28"/>
        </w:rPr>
        <w:t xml:space="preserve"> том числе за счет расширения посевов под зерновыми культурами на 279,9 тыс. га. При этом посевная площадь картофеля и овощебахчевых культур снизилась на 16,9 га (или на 34%). Посевная площадь кормовых культур сократилась на 112,6 тыс. га или на 41% (рисунок 1). Такая динамика посевных площадей сельскохозяйственных культур способствовала увеличению удельного веса зерновых и зернобобовых культур во всей посевной площади Пензенской области (рисунок 2). В структуре зернового клина</w:t>
      </w:r>
      <w:r w:rsidR="005B4A53">
        <w:rPr>
          <w:rFonts w:ascii="Times New Roman" w:hAnsi="Times New Roman" w:cs="Times New Roman"/>
          <w:sz w:val="28"/>
          <w:szCs w:val="28"/>
        </w:rPr>
        <w:t xml:space="preserve"> (рисунок 3)</w:t>
      </w:r>
      <w:r w:rsidR="00B12C9C" w:rsidRPr="00CB118D">
        <w:rPr>
          <w:rFonts w:ascii="Times New Roman" w:hAnsi="Times New Roman" w:cs="Times New Roman"/>
          <w:sz w:val="28"/>
          <w:szCs w:val="28"/>
        </w:rPr>
        <w:t xml:space="preserve"> произошли следующие изменения: увеличилась площадь посева</w:t>
      </w:r>
      <w:r w:rsidR="00E27B96" w:rsidRPr="00CB118D">
        <w:rPr>
          <w:rFonts w:ascii="Times New Roman" w:hAnsi="Times New Roman" w:cs="Times New Roman"/>
          <w:sz w:val="28"/>
          <w:szCs w:val="28"/>
        </w:rPr>
        <w:t xml:space="preserve"> под пшеницей (на 260,2 тыс. га) </w:t>
      </w:r>
      <w:r w:rsidR="00334077" w:rsidRPr="00CB118D">
        <w:rPr>
          <w:rFonts w:ascii="Times New Roman" w:hAnsi="Times New Roman" w:cs="Times New Roman"/>
          <w:sz w:val="28"/>
          <w:szCs w:val="28"/>
        </w:rPr>
        <w:t>и ячменя (на 34,6 тыс. га)</w:t>
      </w:r>
      <w:r w:rsidR="00F41B44" w:rsidRPr="00CB118D">
        <w:rPr>
          <w:rFonts w:ascii="Times New Roman" w:hAnsi="Times New Roman" w:cs="Times New Roman"/>
          <w:sz w:val="28"/>
          <w:szCs w:val="28"/>
        </w:rPr>
        <w:t>. По остальным видам культур, таким как овес, просо и гречиха произошло сокращения посевной площади. Под зерно бобовыми культурами в 2020 году занято 34,6 тыс. га, что практически соответствует уровню 2011 года.</w:t>
      </w:r>
      <w:r w:rsidR="00A80A77" w:rsidRPr="00CB118D">
        <w:rPr>
          <w:rFonts w:ascii="Times New Roman" w:hAnsi="Times New Roman" w:cs="Times New Roman"/>
          <w:sz w:val="28"/>
          <w:szCs w:val="28"/>
        </w:rPr>
        <w:t xml:space="preserve"> Следует отметить, что зернобобовые культуры являются предшественниками практически для всех видов сельскохозяйственных культур оказывая положительное влияние на урожайность последующих культур.</w:t>
      </w:r>
      <w:r w:rsidR="00B64DCF" w:rsidRPr="00CB11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64DCF" w:rsidRPr="00CB1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47684B" wp14:editId="6378BB31">
            <wp:extent cx="5940425" cy="3912870"/>
            <wp:effectExtent l="0" t="0" r="317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2C9C" w:rsidRPr="00CB118D" w:rsidRDefault="00B64DCF" w:rsidP="004E6B9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>Рисунок 1.</w:t>
      </w:r>
      <w:r w:rsidRPr="00CB118D">
        <w:rPr>
          <w:rFonts w:ascii="Times New Roman" w:eastAsiaTheme="minorEastAsia" w:hAnsi="Times New Roman" w:cs="Times New Roman"/>
          <w:color w:val="595959"/>
          <w:kern w:val="24"/>
          <w:sz w:val="28"/>
          <w:szCs w:val="28"/>
          <w:lang w:eastAsia="ru-RU"/>
          <w14:textFill>
            <w14:solidFill>
              <w14:srgbClr w14:val="595959">
                <w14:lumMod w14:val="65000"/>
                <w14:lumOff w14:val="35000"/>
              </w14:srgbClr>
            </w14:solidFill>
          </w14:textFill>
        </w:rPr>
        <w:t xml:space="preserve"> </w:t>
      </w:r>
      <w:r w:rsidRPr="00CB118D">
        <w:rPr>
          <w:rFonts w:ascii="Times New Roman" w:hAnsi="Times New Roman" w:cs="Times New Roman"/>
          <w:sz w:val="28"/>
          <w:szCs w:val="28"/>
        </w:rPr>
        <w:t>Динамика посевных площадей сельскохозяйственных культур за 2011, 2020 год, тыс. га</w:t>
      </w:r>
    </w:p>
    <w:p w:rsidR="005B4A53" w:rsidRDefault="005B4A53" w:rsidP="005B4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E6CE0D" wp14:editId="747B8B7B">
            <wp:extent cx="5940425" cy="2957195"/>
            <wp:effectExtent l="0" t="0" r="317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4A53" w:rsidRPr="00CB118D" w:rsidRDefault="005B4A53" w:rsidP="004E6B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</w:t>
      </w:r>
      <w:r w:rsidRPr="00CB118D">
        <w:rPr>
          <w:rFonts w:ascii="Times New Roman" w:hAnsi="Times New Roman" w:cs="Times New Roman"/>
          <w:sz w:val="28"/>
          <w:szCs w:val="28"/>
        </w:rPr>
        <w:t xml:space="preserve"> Удельный вес зерновых культур в общей площади посевов, %</w:t>
      </w:r>
    </w:p>
    <w:p w:rsidR="005B4A53" w:rsidRDefault="005B4A53" w:rsidP="005B4A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A53" w:rsidRDefault="005B4A53" w:rsidP="005B4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1156F6" wp14:editId="1A41D045">
            <wp:extent cx="5940425" cy="3862070"/>
            <wp:effectExtent l="0" t="0" r="3175" b="50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2281" w:rsidRPr="001D2281" w:rsidRDefault="005B4A53" w:rsidP="004E6B91">
      <w:pPr>
        <w:jc w:val="center"/>
        <w:rPr>
          <w:rFonts w:eastAsiaTheme="minorEastAsia"/>
          <w:color w:val="595959"/>
          <w:kern w:val="24"/>
          <w:sz w:val="28"/>
          <w:szCs w:val="28"/>
          <w14:textFill>
            <w14:solidFill>
              <w14:srgbClr w14:val="595959">
                <w14:lumMod w14:val="65000"/>
                <w14:lumOff w14:val="35000"/>
              </w14:srgbClr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  <w:r w:rsidR="00672942" w:rsidRPr="00CB118D">
        <w:rPr>
          <w:rFonts w:ascii="Times New Roman" w:hAnsi="Times New Roman" w:cs="Times New Roman"/>
          <w:sz w:val="28"/>
          <w:szCs w:val="28"/>
        </w:rPr>
        <w:t>.</w:t>
      </w:r>
      <w:r w:rsidR="00672942" w:rsidRPr="00CB118D">
        <w:rPr>
          <w:rFonts w:ascii="Times New Roman" w:eastAsiaTheme="minorEastAsia" w:hAnsi="Times New Roman" w:cs="Times New Roman"/>
          <w:color w:val="595959"/>
          <w:kern w:val="24"/>
          <w:sz w:val="28"/>
          <w:szCs w:val="28"/>
          <w:lang w:eastAsia="ru-RU"/>
          <w14:textFill>
            <w14:solidFill>
              <w14:srgbClr w14:val="595959">
                <w14:lumMod w14:val="65000"/>
                <w14:lumOff w14:val="35000"/>
              </w14:srgbClr>
            </w14:solidFill>
          </w14:textFill>
        </w:rPr>
        <w:t xml:space="preserve"> </w:t>
      </w:r>
      <w:r w:rsidR="001D2281" w:rsidRPr="001D2281">
        <w:rPr>
          <w:color w:val="000000" w:themeColor="text1"/>
          <w:kern w:val="24"/>
          <w:sz w:val="28"/>
          <w:szCs w:val="28"/>
        </w:rPr>
        <w:t>Структура зернового клина Пензенской области за 2020 г.</w:t>
      </w:r>
      <w:r w:rsidR="007B1F7C">
        <w:rPr>
          <w:color w:val="000000" w:themeColor="text1"/>
          <w:kern w:val="24"/>
          <w:sz w:val="28"/>
          <w:szCs w:val="28"/>
        </w:rPr>
        <w:t>, %</w:t>
      </w:r>
    </w:p>
    <w:p w:rsidR="009867C9" w:rsidRDefault="009867C9" w:rsidP="009867C9">
      <w:pPr>
        <w:rPr>
          <w:rFonts w:ascii="Times New Roman" w:hAnsi="Times New Roman" w:cs="Times New Roman"/>
          <w:sz w:val="28"/>
          <w:szCs w:val="28"/>
        </w:rPr>
      </w:pPr>
    </w:p>
    <w:p w:rsidR="009867C9" w:rsidRDefault="009867C9" w:rsidP="009867C9">
      <w:pPr>
        <w:rPr>
          <w:rFonts w:ascii="Times New Roman" w:hAnsi="Times New Roman" w:cs="Times New Roman"/>
          <w:sz w:val="28"/>
          <w:szCs w:val="28"/>
        </w:rPr>
      </w:pPr>
    </w:p>
    <w:p w:rsidR="00691B68" w:rsidRDefault="00691B68" w:rsidP="009867C9">
      <w:pPr>
        <w:rPr>
          <w:rFonts w:ascii="Times New Roman" w:hAnsi="Times New Roman" w:cs="Times New Roman"/>
          <w:sz w:val="28"/>
          <w:szCs w:val="28"/>
        </w:rPr>
      </w:pPr>
    </w:p>
    <w:p w:rsidR="00691B68" w:rsidRDefault="00691B68" w:rsidP="009867C9">
      <w:pPr>
        <w:rPr>
          <w:rFonts w:ascii="Times New Roman" w:hAnsi="Times New Roman" w:cs="Times New Roman"/>
          <w:sz w:val="28"/>
          <w:szCs w:val="28"/>
        </w:rPr>
      </w:pPr>
    </w:p>
    <w:p w:rsidR="009867C9" w:rsidRPr="009867C9" w:rsidRDefault="009867C9" w:rsidP="009867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7C9">
        <w:rPr>
          <w:rFonts w:ascii="Times New Roman" w:hAnsi="Times New Roman" w:cs="Times New Roman"/>
          <w:sz w:val="28"/>
          <w:szCs w:val="28"/>
        </w:rPr>
        <w:lastRenderedPageBreak/>
        <w:t>Анализ динамики валового сбора зерна в Пензенской области.</w:t>
      </w:r>
    </w:p>
    <w:p w:rsidR="002D3FA7" w:rsidRPr="00CB118D" w:rsidRDefault="0026440A" w:rsidP="009867C9">
      <w:pPr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8F177E" wp14:editId="2909A6F2">
            <wp:extent cx="5786632" cy="4138219"/>
            <wp:effectExtent l="0" t="0" r="5080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3FA7" w:rsidRPr="00CB118D" w:rsidRDefault="002D3FA7" w:rsidP="002D3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>Рисунок 4.</w:t>
      </w:r>
      <w:r w:rsidR="00B95A59" w:rsidRPr="00CB118D">
        <w:rPr>
          <w:rFonts w:ascii="Times New Roman" w:hAnsi="Times New Roman" w:cs="Times New Roman"/>
          <w:sz w:val="28"/>
          <w:szCs w:val="28"/>
        </w:rPr>
        <w:t xml:space="preserve"> Динамика среднего пятилетнего значения валового сбора за период с 1970 по 2019 гг</w:t>
      </w:r>
      <w:r w:rsidR="009A2E41">
        <w:rPr>
          <w:rFonts w:ascii="Times New Roman" w:hAnsi="Times New Roman" w:cs="Times New Roman"/>
          <w:sz w:val="28"/>
          <w:szCs w:val="28"/>
        </w:rPr>
        <w:t>., тыс. тонн</w:t>
      </w:r>
    </w:p>
    <w:p w:rsidR="00672942" w:rsidRPr="00CB118D" w:rsidRDefault="00672942" w:rsidP="00E0127F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>Анализ средних валовых сборов за период с 1970-2019 год позволил определить тенденцию динамики анализируемого показателя, исключив влияние погодных условий. Можно отметить, что период с 1970-2014 характеризуется снижение валового сбора, а в период с 2015-2019 год наблюдается его увеличение. В отчетном 2020 году валовый сбор зерна составил 3384,9 тыс. тонн, однако это меньше максимального значения за рассматриваемый период</w:t>
      </w:r>
      <w:r w:rsidR="00956D11">
        <w:rPr>
          <w:rFonts w:ascii="Times New Roman" w:hAnsi="Times New Roman" w:cs="Times New Roman"/>
          <w:sz w:val="28"/>
          <w:szCs w:val="28"/>
        </w:rPr>
        <w:t xml:space="preserve"> на 222 тыс. тонн</w:t>
      </w:r>
      <w:r w:rsidRPr="00CB118D">
        <w:rPr>
          <w:rFonts w:ascii="Times New Roman" w:hAnsi="Times New Roman" w:cs="Times New Roman"/>
          <w:sz w:val="28"/>
          <w:szCs w:val="28"/>
        </w:rPr>
        <w:t xml:space="preserve"> по сравнению с 1973 годом.</w:t>
      </w:r>
    </w:p>
    <w:p w:rsidR="00354DF4" w:rsidRPr="00CB118D" w:rsidRDefault="00354DF4" w:rsidP="002D3F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DF4" w:rsidRDefault="00354DF4" w:rsidP="002D3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35C9B4" wp14:editId="072F926A">
            <wp:extent cx="5940425" cy="4086225"/>
            <wp:effectExtent l="0" t="0" r="317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118D" w:rsidRPr="00CB118D" w:rsidRDefault="00CB118D" w:rsidP="004E6B91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5– </w:t>
      </w:r>
      <w:r w:rsidRPr="00CB118D">
        <w:rPr>
          <w:sz w:val="28"/>
          <w:szCs w:val="28"/>
        </w:rPr>
        <w:t>Динамика валового сбора и урожайность зерновых культур в период с 2011-2020 гг</w:t>
      </w:r>
    </w:p>
    <w:p w:rsidR="00A5794B" w:rsidRPr="00CB118D" w:rsidRDefault="00A5794B" w:rsidP="006628F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>Анализ динамики урожайности зерновых культур свидетельствует о наличии тенденции к росту средней урожайности. Если в 2011 году средняя урож</w:t>
      </w:r>
      <w:r w:rsidR="00956D11">
        <w:rPr>
          <w:rFonts w:ascii="Times New Roman" w:hAnsi="Times New Roman" w:cs="Times New Roman"/>
          <w:sz w:val="28"/>
          <w:szCs w:val="28"/>
        </w:rPr>
        <w:t>айность составила 15,3 ц с 1 га</w:t>
      </w:r>
      <w:r w:rsidRPr="00CB118D">
        <w:rPr>
          <w:rFonts w:ascii="Times New Roman" w:hAnsi="Times New Roman" w:cs="Times New Roman"/>
          <w:sz w:val="28"/>
          <w:szCs w:val="28"/>
        </w:rPr>
        <w:t>, то в 2020 – 37,9 ц с 1 га, что является абсолютным максимумом за период с 2011-2020 год.</w:t>
      </w:r>
      <w:r w:rsidR="00B95A59" w:rsidRPr="00CB118D">
        <w:rPr>
          <w:rFonts w:ascii="Times New Roman" w:hAnsi="Times New Roman" w:cs="Times New Roman"/>
          <w:sz w:val="28"/>
          <w:szCs w:val="28"/>
        </w:rPr>
        <w:t xml:space="preserve"> Аналогичная тенденция наблюдается и с динамикой валового сбора. В 2011 году он составлял </w:t>
      </w:r>
      <w:r w:rsidR="00E01344" w:rsidRPr="00CB118D">
        <w:rPr>
          <w:rFonts w:ascii="Times New Roman" w:hAnsi="Times New Roman" w:cs="Times New Roman"/>
          <w:sz w:val="28"/>
          <w:szCs w:val="28"/>
        </w:rPr>
        <w:t>986,1 тыс. руб., а уже к концу анализируемого периода он составил 3384,9 тыс. руб., что также является абсолютным максимум в период с 2011 по 2020 г.</w:t>
      </w:r>
    </w:p>
    <w:p w:rsidR="00BC2CE8" w:rsidRPr="00CB118D" w:rsidRDefault="00BC2CE8" w:rsidP="00BC2CE8">
      <w:pPr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A5794B">
      <w:pPr>
        <w:spacing w:after="0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BC2CE8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BC2CE8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BC2CE8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BC2CE8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BC2CE8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BC2CE8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5543C7" w:rsidRPr="00CB118D" w:rsidRDefault="005543C7" w:rsidP="00CB118D">
      <w:pPr>
        <w:rPr>
          <w:rFonts w:ascii="Times New Roman" w:hAnsi="Times New Roman" w:cs="Times New Roman"/>
          <w:sz w:val="28"/>
          <w:szCs w:val="28"/>
        </w:rPr>
      </w:pPr>
    </w:p>
    <w:p w:rsidR="00FA2BB3" w:rsidRPr="00CB118D" w:rsidRDefault="002B7B1E" w:rsidP="00681CA0">
      <w:pPr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lastRenderedPageBreak/>
        <w:t>Таблица 1 – Анализ регионов ПФО по валовому сбору зерна, площади посева зерновых культур и урожайности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1838"/>
        <w:gridCol w:w="1052"/>
        <w:gridCol w:w="629"/>
        <w:gridCol w:w="6"/>
        <w:gridCol w:w="986"/>
        <w:gridCol w:w="871"/>
        <w:gridCol w:w="1088"/>
        <w:gridCol w:w="737"/>
        <w:gridCol w:w="853"/>
        <w:gridCol w:w="960"/>
      </w:tblGrid>
      <w:tr w:rsidR="00681CA0" w:rsidRPr="00FA2BB3" w:rsidTr="00681CA0">
        <w:trPr>
          <w:trHeight w:val="169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FA2BB3" w:rsidP="00FA2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Регионы ПФО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ВС ЗК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Площадь посева зерновых культур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004956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Урожайно</w:t>
            </w:r>
            <w:r w:rsidR="00FA2BB3"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сть зерновых культур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Сумма рангов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Место</w:t>
            </w:r>
          </w:p>
        </w:tc>
      </w:tr>
      <w:tr w:rsidR="00FA2BB3" w:rsidRPr="00FA2BB3" w:rsidTr="00681CA0">
        <w:trPr>
          <w:trHeight w:val="30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тыс. 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Ранг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тыс. ц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Ранг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ц с  га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Ранг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A2BB3" w:rsidRPr="00FA2BB3" w:rsidTr="00681CA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Пермский край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3567,15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733,3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4,86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A2BB3" w:rsidRPr="00FA2BB3" w:rsidTr="00681CA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Республика Марий Эл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3177,28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10,88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A2BB3" w:rsidRPr="00FA2BB3" w:rsidTr="00681CA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Удмуртская Республика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6476,65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921,37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7,03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A2BB3" w:rsidRPr="00FA2BB3" w:rsidTr="00681CA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Кировская область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6521,6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827,69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7,88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A2BB3" w:rsidRPr="00FA2BB3" w:rsidTr="00681CA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Чувашская Республика - Чувашия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9405,15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550,17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17,09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A2BB3" w:rsidRPr="00FA2BB3" w:rsidTr="00681CA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Нижегородская область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16145,86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1089,71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ind w:left="15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14,82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A2BB3" w:rsidRPr="00FA2BB3" w:rsidTr="00681CA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Республика Мордовия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16218,43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770,47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A2BB3" w:rsidRPr="00FA2BB3" w:rsidTr="00681CA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Самарская область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29235,99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2127,87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13,74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A2BB3" w:rsidRPr="00FA2BB3" w:rsidTr="00681CA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Ульяновская область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20158,3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1058,76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19,04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A2BB3" w:rsidRPr="00FA2BB3" w:rsidTr="00681CA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Оренбургская область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35895,77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4285,6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8,38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A2BB3" w:rsidRPr="00FA2BB3" w:rsidTr="00681CA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Республика Башкортостан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38393,06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2869,16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13,38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FA2BB3" w:rsidRPr="00FA2BB3" w:rsidTr="000F4FFE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Пензенская область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32217,26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1453,31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22,17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FA2BB3" w:rsidRPr="00FA2BB3" w:rsidTr="00681CA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Саратовская область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53035,42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4168,7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12,72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FA2BB3" w:rsidRPr="00FA2BB3" w:rsidTr="00681CA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hideMark/>
          </w:tcPr>
          <w:p w:rsidR="00FA2BB3" w:rsidRPr="00FA2BB3" w:rsidRDefault="00FA2BB3" w:rsidP="00FA2BB3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 w:rsidRPr="00FA2BB3"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       Республика Татарстан (Татарстан)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52007,64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2870,62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18,12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B3" w:rsidRPr="00FA2BB3" w:rsidRDefault="00FA2BB3" w:rsidP="00681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2B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BC2CE8" w:rsidRPr="00CB118D" w:rsidRDefault="00BC2CE8" w:rsidP="00354DF4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BC2CE8" w:rsidRPr="00CB118D" w:rsidRDefault="005543C7" w:rsidP="005543C7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410197" wp14:editId="76A23A2B">
            <wp:extent cx="5940425" cy="3301365"/>
            <wp:effectExtent l="0" t="0" r="3175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6EBD" w:rsidRPr="00CB118D" w:rsidRDefault="00996EBD" w:rsidP="005543C7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>Рисунок 6 – Валовый сбор зерна в регионах ПФО за 2020 год, тыс. ц</w:t>
      </w:r>
    </w:p>
    <w:p w:rsidR="00A5794B" w:rsidRDefault="00A5794B" w:rsidP="006628F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B118D">
        <w:rPr>
          <w:rFonts w:ascii="Times New Roman" w:hAnsi="Times New Roman" w:cs="Times New Roman"/>
          <w:sz w:val="28"/>
          <w:szCs w:val="28"/>
        </w:rPr>
        <w:t>Анализ зерновой отрасли в ПФО позволила получить следующие данные, н-р, в 2020 году валовой сбор зерна в ПФО составил 322 млн. ц или в 4,9 раза больше, чем в 2010 году и на 1,4 раза больше, чем в предыдущем 2019 году. В пензенской области валовой сбор зерна составил 32 млн. ц, что составляет 1% от валового сбора зерна ПФО. По данному показателю Пензенская область находится на 5 месте</w:t>
      </w:r>
      <w:r w:rsidR="002B7B1E" w:rsidRPr="00CB118D">
        <w:rPr>
          <w:rFonts w:ascii="Times New Roman" w:hAnsi="Times New Roman" w:cs="Times New Roman"/>
          <w:sz w:val="28"/>
          <w:szCs w:val="28"/>
        </w:rPr>
        <w:t xml:space="preserve"> </w:t>
      </w:r>
      <w:r w:rsidR="00F21ECF" w:rsidRPr="00CB118D">
        <w:rPr>
          <w:rFonts w:ascii="Times New Roman" w:hAnsi="Times New Roman" w:cs="Times New Roman"/>
          <w:sz w:val="28"/>
          <w:szCs w:val="28"/>
        </w:rPr>
        <w:t>(</w:t>
      </w:r>
      <w:r w:rsidRPr="00CB118D">
        <w:rPr>
          <w:rFonts w:ascii="Times New Roman" w:hAnsi="Times New Roman" w:cs="Times New Roman"/>
          <w:sz w:val="28"/>
          <w:szCs w:val="28"/>
        </w:rPr>
        <w:t xml:space="preserve">таблица 1), уступая по этому показателю Саратовской области, республикам Татарстан и Башкортостан и Оренбургской области. </w:t>
      </w:r>
      <w:r w:rsidR="00216CB7" w:rsidRPr="00CB118D">
        <w:rPr>
          <w:rFonts w:ascii="Times New Roman" w:hAnsi="Times New Roman" w:cs="Times New Roman"/>
          <w:sz w:val="28"/>
          <w:szCs w:val="28"/>
        </w:rPr>
        <w:t>По площади посева зерновых культур Пензенская область занимает 6 место и уступает по данному показателю Самарской области, республикам Башкортостан и Татарстан, Саратовской и Оренбургско</w:t>
      </w:r>
      <w:r w:rsidR="00996EBD" w:rsidRPr="00CB118D">
        <w:rPr>
          <w:rFonts w:ascii="Times New Roman" w:hAnsi="Times New Roman" w:cs="Times New Roman"/>
          <w:sz w:val="28"/>
          <w:szCs w:val="28"/>
        </w:rPr>
        <w:t xml:space="preserve">й области. По такому показателю, </w:t>
      </w:r>
      <w:r w:rsidR="00216CB7" w:rsidRPr="00CB118D">
        <w:rPr>
          <w:rFonts w:ascii="Times New Roman" w:hAnsi="Times New Roman" w:cs="Times New Roman"/>
          <w:sz w:val="28"/>
          <w:szCs w:val="28"/>
        </w:rPr>
        <w:t>как урожайность</w:t>
      </w:r>
      <w:r w:rsidR="00996EBD" w:rsidRPr="00CB118D">
        <w:rPr>
          <w:rFonts w:ascii="Times New Roman" w:hAnsi="Times New Roman" w:cs="Times New Roman"/>
          <w:sz w:val="28"/>
          <w:szCs w:val="28"/>
        </w:rPr>
        <w:t>,</w:t>
      </w:r>
      <w:r w:rsidR="00216CB7" w:rsidRPr="00CB118D">
        <w:rPr>
          <w:rFonts w:ascii="Times New Roman" w:hAnsi="Times New Roman" w:cs="Times New Roman"/>
          <w:sz w:val="28"/>
          <w:szCs w:val="28"/>
        </w:rPr>
        <w:t xml:space="preserve"> Пензенская область </w:t>
      </w:r>
      <w:r w:rsidR="00996EBD" w:rsidRPr="00CB118D">
        <w:rPr>
          <w:rFonts w:ascii="Times New Roman" w:hAnsi="Times New Roman" w:cs="Times New Roman"/>
          <w:sz w:val="28"/>
          <w:szCs w:val="28"/>
        </w:rPr>
        <w:t>становится лидером</w:t>
      </w:r>
      <w:r w:rsidR="00F21ECF" w:rsidRPr="00CB118D">
        <w:rPr>
          <w:rFonts w:ascii="Times New Roman" w:hAnsi="Times New Roman" w:cs="Times New Roman"/>
          <w:sz w:val="28"/>
          <w:szCs w:val="28"/>
        </w:rPr>
        <w:t xml:space="preserve">, ее урожайность составляет 22,17 ц с га. В целом Пензенская область </w:t>
      </w:r>
      <w:r w:rsidR="002D2E82">
        <w:rPr>
          <w:rFonts w:ascii="Times New Roman" w:hAnsi="Times New Roman" w:cs="Times New Roman"/>
          <w:sz w:val="28"/>
          <w:szCs w:val="28"/>
        </w:rPr>
        <w:t>занимает 2 место среди регионов ПФО, уступая Саратовской области и Республике Татарстан.</w:t>
      </w:r>
    </w:p>
    <w:p w:rsidR="00DE6ABF" w:rsidRPr="00DE6ABF" w:rsidRDefault="00DE6ABF" w:rsidP="004E6B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6ABF" w:rsidRDefault="00DE6ABF" w:rsidP="004E6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ABF" w:rsidRDefault="00DE6ABF" w:rsidP="004E6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ABF" w:rsidRDefault="00DE6ABF" w:rsidP="00DE6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BF" w:rsidRDefault="00DE6ABF" w:rsidP="00DE6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BF" w:rsidRDefault="00DE6ABF" w:rsidP="00DE6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BF" w:rsidRDefault="00DE6ABF" w:rsidP="00DE6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ABF" w:rsidRDefault="00DE6ABF" w:rsidP="00DE6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15B" w:rsidRDefault="000C515B" w:rsidP="002670CD">
      <w:pPr>
        <w:rPr>
          <w:rFonts w:ascii="Times New Roman" w:hAnsi="Times New Roman" w:cs="Times New Roman"/>
          <w:sz w:val="28"/>
          <w:szCs w:val="28"/>
        </w:rPr>
        <w:sectPr w:rsidR="000C51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tblpY="1164"/>
        <w:tblW w:w="14421" w:type="dxa"/>
        <w:tblLayout w:type="fixed"/>
        <w:tblLook w:val="0000" w:firstRow="0" w:lastRow="0" w:firstColumn="0" w:lastColumn="0" w:noHBand="0" w:noVBand="0"/>
      </w:tblPr>
      <w:tblGrid>
        <w:gridCol w:w="2907"/>
        <w:gridCol w:w="1117"/>
        <w:gridCol w:w="1117"/>
        <w:gridCol w:w="1117"/>
        <w:gridCol w:w="1117"/>
        <w:gridCol w:w="1117"/>
        <w:gridCol w:w="1281"/>
        <w:gridCol w:w="851"/>
        <w:gridCol w:w="1945"/>
        <w:gridCol w:w="1841"/>
        <w:gridCol w:w="11"/>
      </w:tblGrid>
      <w:tr w:rsidR="00DE6ABF" w:rsidTr="001260C5">
        <w:trPr>
          <w:trHeight w:val="408"/>
        </w:trPr>
        <w:tc>
          <w:tcPr>
            <w:tcW w:w="2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6ABF" w:rsidRPr="001260C5" w:rsidRDefault="00DE6ABF" w:rsidP="0012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Районы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6ABF" w:rsidRPr="001260C5" w:rsidRDefault="00DE6ABF" w:rsidP="0012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iCs/>
                <w:color w:val="000000"/>
                <w:szCs w:val="28"/>
              </w:rPr>
              <w:t>ВС, тыс. тонн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6ABF" w:rsidRPr="001260C5" w:rsidRDefault="00DE6ABF" w:rsidP="0012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iCs/>
                <w:color w:val="000000"/>
                <w:szCs w:val="28"/>
              </w:rPr>
              <w:t>Площадь посева, га</w:t>
            </w:r>
          </w:p>
        </w:tc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E6ABF" w:rsidRPr="001260C5" w:rsidRDefault="00DE6ABF" w:rsidP="0012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Урожайность, ц с 1 га</w:t>
            </w:r>
          </w:p>
        </w:tc>
        <w:tc>
          <w:tcPr>
            <w:tcW w:w="4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ABF" w:rsidRPr="001260C5" w:rsidRDefault="00DE6ABF" w:rsidP="0012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Отклонение ВС, тыс. тонн</w:t>
            </w:r>
          </w:p>
        </w:tc>
      </w:tr>
      <w:tr w:rsidR="00DE6ABF" w:rsidTr="001260C5">
        <w:trPr>
          <w:gridAfter w:val="1"/>
          <w:wAfter w:w="11" w:type="dxa"/>
          <w:trHeight w:val="27"/>
        </w:trPr>
        <w:tc>
          <w:tcPr>
            <w:tcW w:w="2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BF" w:rsidRPr="001260C5" w:rsidRDefault="00DE6ABF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BF" w:rsidRPr="001260C5" w:rsidRDefault="00DE6ABF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E6ABF" w:rsidRPr="001260C5" w:rsidRDefault="00DE6ABF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E6ABF" w:rsidRPr="001260C5" w:rsidRDefault="00DE6ABF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E6ABF" w:rsidRPr="001260C5" w:rsidRDefault="00DE6ABF" w:rsidP="0012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E6ABF" w:rsidRPr="001260C5" w:rsidRDefault="00DE6ABF" w:rsidP="00126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6ABF" w:rsidRPr="001260C5" w:rsidRDefault="00DE6ABF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общее</w:t>
            </w:r>
          </w:p>
        </w:tc>
        <w:tc>
          <w:tcPr>
            <w:tcW w:w="3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BF" w:rsidRPr="001260C5" w:rsidRDefault="00DE6ABF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 xml:space="preserve">в том числе за счет </w:t>
            </w:r>
          </w:p>
        </w:tc>
      </w:tr>
      <w:tr w:rsidR="000C515B" w:rsidTr="001260C5">
        <w:trPr>
          <w:gridAfter w:val="1"/>
          <w:wAfter w:w="11" w:type="dxa"/>
          <w:trHeight w:val="144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2020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2020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2019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Площадь посева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Урожайность</w:t>
            </w:r>
          </w:p>
        </w:tc>
      </w:tr>
      <w:tr w:rsidR="000C515B" w:rsidTr="001260C5">
        <w:trPr>
          <w:gridAfter w:val="1"/>
          <w:wAfter w:w="11" w:type="dxa"/>
          <w:trHeight w:val="146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Башмаковский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170,2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231,6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51443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49741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34,1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61,4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-0,6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62,0</w:t>
            </w:r>
          </w:p>
        </w:tc>
      </w:tr>
      <w:tr w:rsidR="000C515B" w:rsidTr="001260C5">
        <w:trPr>
          <w:gridAfter w:val="1"/>
          <w:wAfter w:w="11" w:type="dxa"/>
          <w:trHeight w:val="269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Пензенский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135,2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254,9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59240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63722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23,6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119,7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15,2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104,5</w:t>
            </w:r>
          </w:p>
        </w:tc>
      </w:tr>
      <w:tr w:rsidR="000C515B" w:rsidTr="001260C5">
        <w:trPr>
          <w:gridAfter w:val="1"/>
          <w:wAfter w:w="11" w:type="dxa"/>
          <w:trHeight w:val="269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Белинский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167,9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288,8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65278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68106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26,4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120,9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11,9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109,0</w:t>
            </w:r>
          </w:p>
        </w:tc>
      </w:tr>
      <w:tr w:rsidR="000C515B" w:rsidTr="001260C5">
        <w:trPr>
          <w:gridAfter w:val="1"/>
          <w:wAfter w:w="11" w:type="dxa"/>
          <w:trHeight w:val="269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Каменский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134,3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281,6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63922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64149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22,9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147,3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12,6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134,7</w:t>
            </w:r>
          </w:p>
        </w:tc>
      </w:tr>
      <w:tr w:rsidR="000C515B" w:rsidTr="001260C5">
        <w:trPr>
          <w:gridAfter w:val="1"/>
          <w:wAfter w:w="11" w:type="dxa"/>
          <w:trHeight w:val="153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Городищенский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16,3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35,6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10841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13685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18,0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19,3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8,3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11,0</w:t>
            </w:r>
          </w:p>
        </w:tc>
      </w:tr>
      <w:tr w:rsidR="000C515B" w:rsidTr="001260C5">
        <w:trPr>
          <w:gridAfter w:val="1"/>
          <w:wAfter w:w="11" w:type="dxa"/>
          <w:trHeight w:val="269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Неверкинский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17,3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34,7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17453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18478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17,3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17,4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14,7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2,7</w:t>
            </w:r>
          </w:p>
        </w:tc>
      </w:tr>
      <w:tr w:rsidR="000C515B" w:rsidTr="001260C5">
        <w:trPr>
          <w:gridAfter w:val="1"/>
          <w:wAfter w:w="11" w:type="dxa"/>
          <w:trHeight w:val="138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Никольский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5,6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11,9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2871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4262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17,7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6,3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1,9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4,4</w:t>
            </w:r>
          </w:p>
        </w:tc>
      </w:tr>
      <w:tr w:rsidR="000C515B" w:rsidTr="001260C5">
        <w:trPr>
          <w:gridAfter w:val="1"/>
          <w:wAfter w:w="11" w:type="dxa"/>
          <w:trHeight w:val="173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Сосновоборский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3,2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6,9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3454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3873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10,9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3,7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1,0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2,7</w:t>
            </w:r>
          </w:p>
        </w:tc>
      </w:tr>
      <w:tr w:rsidR="000C515B" w:rsidTr="001260C5">
        <w:trPr>
          <w:gridAfter w:val="1"/>
          <w:wAfter w:w="11" w:type="dxa"/>
          <w:trHeight w:val="404"/>
        </w:trPr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ИТОГО Пензенская область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1856,8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3221,7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800400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850500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25,9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40,8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1364,9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346,0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15B" w:rsidRPr="001260C5" w:rsidRDefault="000C515B" w:rsidP="00031D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260C5">
              <w:rPr>
                <w:rFonts w:ascii="Times New Roman" w:hAnsi="Times New Roman" w:cs="Times New Roman"/>
                <w:color w:val="000000"/>
                <w:szCs w:val="28"/>
              </w:rPr>
              <w:t>1018,9</w:t>
            </w:r>
          </w:p>
        </w:tc>
      </w:tr>
    </w:tbl>
    <w:p w:rsidR="002670CD" w:rsidRPr="002670CD" w:rsidRDefault="002670CD" w:rsidP="002670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70CD">
        <w:rPr>
          <w:rFonts w:ascii="Times New Roman" w:hAnsi="Times New Roman" w:cs="Times New Roman"/>
          <w:sz w:val="28"/>
          <w:szCs w:val="28"/>
        </w:rPr>
        <w:t>Анализ зерновой отрасли в разрезе районов Пензенской области.</w:t>
      </w:r>
    </w:p>
    <w:p w:rsidR="00D65161" w:rsidRPr="00D65161" w:rsidRDefault="002670CD" w:rsidP="00031D53">
      <w:pPr>
        <w:ind w:left="360"/>
        <w:rPr>
          <w:rFonts w:ascii="Times New Roman" w:hAnsi="Times New Roman" w:cs="Times New Roman"/>
          <w:sz w:val="28"/>
          <w:szCs w:val="28"/>
        </w:rPr>
      </w:pPr>
      <w:r w:rsidRPr="002670CD">
        <w:rPr>
          <w:rFonts w:ascii="Times New Roman" w:hAnsi="Times New Roman" w:cs="Times New Roman"/>
          <w:sz w:val="28"/>
          <w:szCs w:val="28"/>
        </w:rPr>
        <w:t>Таблица 2 – Анализ влияния факторов на валовой сбор зерна</w:t>
      </w:r>
    </w:p>
    <w:p w:rsidR="005376C2" w:rsidRDefault="005376C2" w:rsidP="00B85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76C2" w:rsidRDefault="005376C2" w:rsidP="00D65161">
      <w:pPr>
        <w:rPr>
          <w:rFonts w:ascii="Times New Roman" w:hAnsi="Times New Roman" w:cs="Times New Roman"/>
          <w:sz w:val="28"/>
          <w:szCs w:val="28"/>
        </w:rPr>
        <w:sectPr w:rsidR="005376C2" w:rsidSect="000C515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76C2" w:rsidRDefault="008E71D9" w:rsidP="005376C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D088EAC" wp14:editId="21C756F7">
            <wp:extent cx="9144000" cy="55530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:rsidR="00170884" w:rsidRPr="00170884" w:rsidRDefault="00170884" w:rsidP="00170884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7 – </w:t>
      </w:r>
      <w:r w:rsidRPr="00170884">
        <w:rPr>
          <w:sz w:val="28"/>
          <w:szCs w:val="28"/>
        </w:rPr>
        <w:t>Динамика валового сбора зерна по районам Пензенской области, тыс. тонн</w:t>
      </w:r>
    </w:p>
    <w:p w:rsidR="008E71D9" w:rsidRDefault="008E71D9" w:rsidP="005376C2">
      <w:pPr>
        <w:ind w:firstLine="357"/>
        <w:jc w:val="both"/>
        <w:rPr>
          <w:rFonts w:ascii="Times New Roman" w:hAnsi="Times New Roman" w:cs="Times New Roman"/>
          <w:sz w:val="28"/>
          <w:szCs w:val="28"/>
        </w:rPr>
        <w:sectPr w:rsidR="008E71D9" w:rsidSect="008E71D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76C2" w:rsidRDefault="005376C2" w:rsidP="005376C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показал анализ, максимальный валовый сбор в 2020 году был получен в, Белинском, Каменском, Пензенском и Башмаковском. В этих районах произведено 1056,9тыс. тонн, что составляет 32,8% от общего суммы валового сбора 2020 года. Минимальное значение валового сбора зерна в 2020 году было получено в Сосновоборском и Никольском районах. </w:t>
      </w:r>
    </w:p>
    <w:p w:rsidR="005376C2" w:rsidRDefault="005376C2" w:rsidP="005376C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влияния факторов на валовый сбор зерна свидетельствует о том, что основным фактором, повлиявшим на валовое увеличение сбора зерна в 2020 году по сравнению с 2019 являлся рост урожайности зерновых культур. В целом по Пензенской области повышение средней урожайности с 25,3 до 40,8 га позволил получить дополнительно 1018,9 тыс. тонн зерна, что составляет 74% от всего прироста. Оставшиеся 26% увеличение валового сбора обеспечило расширение посевных площадей под зерновыми культурами. Аналогичная тенденция складывается в районах области. Во всех исследованных нами районов повысилась средняя урожайность зерновых культур. А расширение зернового клина наблюдаем в 7 районах из 8 исследуемых. Максимальная урожайность была получена в Башмаковском районе, которая составила 48,3 ц с 1 га.</w:t>
      </w:r>
    </w:p>
    <w:p w:rsidR="00DE6ABF" w:rsidRDefault="00DE6ABF" w:rsidP="00D65161">
      <w:pPr>
        <w:rPr>
          <w:rFonts w:ascii="Times New Roman" w:hAnsi="Times New Roman" w:cs="Times New Roman"/>
          <w:sz w:val="28"/>
          <w:szCs w:val="28"/>
        </w:rPr>
        <w:sectPr w:rsidR="00DE6ABF" w:rsidSect="008E71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6ABF" w:rsidRDefault="00DE6ABF" w:rsidP="00DE6ABF">
      <w:pPr>
        <w:tabs>
          <w:tab w:val="left" w:pos="97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корреляционного анализа</w:t>
      </w:r>
    </w:p>
    <w:tbl>
      <w:tblPr>
        <w:tblW w:w="5440" w:type="dxa"/>
        <w:tblLook w:val="04A0" w:firstRow="1" w:lastRow="0" w:firstColumn="1" w:lastColumn="0" w:noHBand="0" w:noVBand="1"/>
      </w:tblPr>
      <w:tblGrid>
        <w:gridCol w:w="2020"/>
        <w:gridCol w:w="1071"/>
        <w:gridCol w:w="1071"/>
        <w:gridCol w:w="1500"/>
      </w:tblGrid>
      <w:tr w:rsidR="00DE6ABF" w:rsidRPr="00820A87" w:rsidTr="00872365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ABF" w:rsidRPr="00820A87" w:rsidRDefault="00DE6ABF" w:rsidP="0087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Столбец 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ABF" w:rsidRPr="00820A87" w:rsidRDefault="00DE6ABF" w:rsidP="0087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Столбец 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ABF" w:rsidRPr="00820A87" w:rsidRDefault="00DE6ABF" w:rsidP="00872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Столбец 3</w:t>
            </w:r>
          </w:p>
        </w:tc>
      </w:tr>
      <w:tr w:rsidR="00DE6ABF" w:rsidRPr="00820A87" w:rsidTr="00C5037E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Столбец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820A87" w:rsidTr="00C5037E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Столбец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0,361721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6ABF" w:rsidRPr="00820A87" w:rsidTr="00C5037E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Столбец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-0,3169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-0,19585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820A87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0A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DE6ABF" w:rsidRDefault="00DE6ABF" w:rsidP="00DE6ABF">
      <w:pPr>
        <w:tabs>
          <w:tab w:val="left" w:pos="97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регрессионного анализа</w:t>
      </w:r>
    </w:p>
    <w:tbl>
      <w:tblPr>
        <w:tblW w:w="14731" w:type="dxa"/>
        <w:tblLook w:val="04A0" w:firstRow="1" w:lastRow="0" w:firstColumn="1" w:lastColumn="0" w:noHBand="0" w:noVBand="1"/>
      </w:tblPr>
      <w:tblGrid>
        <w:gridCol w:w="2760"/>
        <w:gridCol w:w="1780"/>
        <w:gridCol w:w="2177"/>
        <w:gridCol w:w="1560"/>
        <w:gridCol w:w="1092"/>
        <w:gridCol w:w="1396"/>
        <w:gridCol w:w="1228"/>
        <w:gridCol w:w="1384"/>
        <w:gridCol w:w="1394"/>
      </w:tblGrid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ВЫВОД ИТОГОВ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4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Регрессионная статистика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Множественный 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0,44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R-квадрат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0,19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Нормированный R-квадрат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0,13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Стандартная ошибка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3574,59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Наблюдения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Дисперсионный анализ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df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SS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MS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F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Значимость F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Регрессия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73719369,88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36859684,94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Остаток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306665412,78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12777725,53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380384782,67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Коэффициенты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Стандартная ошибка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t-статистика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P-Значение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Нижние 95%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Верхние 95%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Нижние 95,0%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Верхние 95,0%</w:t>
            </w: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Y-пересечение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4967,19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1662,86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2,99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1535,22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8399,16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1535,22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8399,16</w:t>
            </w:r>
          </w:p>
        </w:tc>
      </w:tr>
      <w:tr w:rsidR="00DE6ABF" w:rsidRPr="005359F8" w:rsidTr="00C5037E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Переменная X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2,54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1,53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1,67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0,11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-0,61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5,69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-0,61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5,69</w:t>
            </w:r>
          </w:p>
        </w:tc>
      </w:tr>
      <w:tr w:rsidR="00DE6ABF" w:rsidRPr="005359F8" w:rsidTr="00C5037E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Переменная X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-5,31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-1,37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0,18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-13,33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2,70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-13,33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ABF" w:rsidRPr="005359F8" w:rsidRDefault="00DE6ABF" w:rsidP="00C503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59F8">
              <w:rPr>
                <w:rFonts w:ascii="Calibri" w:eastAsia="Times New Roman" w:hAnsi="Calibri" w:cs="Calibri"/>
                <w:color w:val="000000"/>
                <w:lang w:eastAsia="ru-RU"/>
              </w:rPr>
              <w:t>2,70</w:t>
            </w:r>
          </w:p>
        </w:tc>
      </w:tr>
    </w:tbl>
    <w:p w:rsidR="005359F8" w:rsidRDefault="005359F8" w:rsidP="00D65161">
      <w:pPr>
        <w:tabs>
          <w:tab w:val="left" w:pos="9746"/>
        </w:tabs>
        <w:rPr>
          <w:rFonts w:ascii="Times New Roman" w:hAnsi="Times New Roman" w:cs="Times New Roman"/>
          <w:sz w:val="28"/>
          <w:szCs w:val="28"/>
        </w:rPr>
        <w:sectPr w:rsidR="005359F8" w:rsidSect="00DE6AB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20A87" w:rsidRDefault="00820A87" w:rsidP="00056783">
      <w:pPr>
        <w:tabs>
          <w:tab w:val="left" w:pos="9746"/>
        </w:tabs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</w:t>
      </w:r>
      <w:r w:rsidR="00DE6ABF">
        <w:rPr>
          <w:rFonts w:ascii="Times New Roman" w:hAnsi="Times New Roman" w:cs="Times New Roman"/>
          <w:sz w:val="28"/>
          <w:szCs w:val="28"/>
        </w:rPr>
        <w:t>корреляционно-регрессионного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были выбраны данные по районам Пензенской области. В качестве результативного показателя – произведено зерна на душу населения, кг. Х факторы – приходится посевов зерновых культур на 1 зерноуборочный комбайн и приходится энергетических мощностей на 100 га посевной площади. Полученные результаты свидетельствуют о том, что влияние этих двух факторов на результативные показатели составляет не более 20%, т. е оставшиеся 80% определяется влиянием других неучтенных факторов. В то же время наблюдаем наличие прямой зависимости между обеспеченностью техникой и производством зерна на душу населения.</w:t>
      </w:r>
    </w:p>
    <w:p w:rsidR="00820A87" w:rsidRPr="00D65161" w:rsidRDefault="00820A87" w:rsidP="00D65161">
      <w:pPr>
        <w:tabs>
          <w:tab w:val="left" w:pos="9746"/>
        </w:tabs>
        <w:rPr>
          <w:rFonts w:ascii="Times New Roman" w:hAnsi="Times New Roman" w:cs="Times New Roman"/>
          <w:sz w:val="28"/>
          <w:szCs w:val="28"/>
        </w:rPr>
      </w:pPr>
    </w:p>
    <w:sectPr w:rsidR="00820A87" w:rsidRPr="00D65161" w:rsidSect="00DE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26" w:rsidRDefault="00955F26" w:rsidP="00D65161">
      <w:pPr>
        <w:spacing w:after="0" w:line="240" w:lineRule="auto"/>
      </w:pPr>
      <w:r>
        <w:separator/>
      </w:r>
    </w:p>
  </w:endnote>
  <w:endnote w:type="continuationSeparator" w:id="0">
    <w:p w:rsidR="00955F26" w:rsidRDefault="00955F26" w:rsidP="00D6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26" w:rsidRDefault="00955F26" w:rsidP="00D65161">
      <w:pPr>
        <w:spacing w:after="0" w:line="240" w:lineRule="auto"/>
      </w:pPr>
      <w:r>
        <w:separator/>
      </w:r>
    </w:p>
  </w:footnote>
  <w:footnote w:type="continuationSeparator" w:id="0">
    <w:p w:rsidR="00955F26" w:rsidRDefault="00955F26" w:rsidP="00D6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641"/>
    <w:multiLevelType w:val="hybridMultilevel"/>
    <w:tmpl w:val="EEEE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86B"/>
    <w:multiLevelType w:val="hybridMultilevel"/>
    <w:tmpl w:val="9042AA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B1B"/>
    <w:multiLevelType w:val="hybridMultilevel"/>
    <w:tmpl w:val="EEEE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6B"/>
    <w:rsid w:val="00004956"/>
    <w:rsid w:val="00031D53"/>
    <w:rsid w:val="00056783"/>
    <w:rsid w:val="000C515B"/>
    <w:rsid w:val="000D649C"/>
    <w:rsid w:val="000F4FFE"/>
    <w:rsid w:val="001260C5"/>
    <w:rsid w:val="00132343"/>
    <w:rsid w:val="00152CFD"/>
    <w:rsid w:val="00170884"/>
    <w:rsid w:val="001A24A3"/>
    <w:rsid w:val="001A754E"/>
    <w:rsid w:val="001B63B9"/>
    <w:rsid w:val="001D2281"/>
    <w:rsid w:val="001D3662"/>
    <w:rsid w:val="001D49D2"/>
    <w:rsid w:val="00216CB7"/>
    <w:rsid w:val="0026440A"/>
    <w:rsid w:val="002670CD"/>
    <w:rsid w:val="0029063E"/>
    <w:rsid w:val="002B7B1E"/>
    <w:rsid w:val="002D2E82"/>
    <w:rsid w:val="002D3FA7"/>
    <w:rsid w:val="00331CC3"/>
    <w:rsid w:val="00334077"/>
    <w:rsid w:val="00354DF4"/>
    <w:rsid w:val="00360F41"/>
    <w:rsid w:val="003D35AB"/>
    <w:rsid w:val="00487379"/>
    <w:rsid w:val="004E6B91"/>
    <w:rsid w:val="004F7D2B"/>
    <w:rsid w:val="00505421"/>
    <w:rsid w:val="005359F8"/>
    <w:rsid w:val="005376C2"/>
    <w:rsid w:val="00540F18"/>
    <w:rsid w:val="005436E5"/>
    <w:rsid w:val="005543C7"/>
    <w:rsid w:val="00591368"/>
    <w:rsid w:val="005B2499"/>
    <w:rsid w:val="005B29C8"/>
    <w:rsid w:val="005B4A53"/>
    <w:rsid w:val="005E339E"/>
    <w:rsid w:val="00656C0B"/>
    <w:rsid w:val="006628F4"/>
    <w:rsid w:val="00672942"/>
    <w:rsid w:val="00681CA0"/>
    <w:rsid w:val="00683523"/>
    <w:rsid w:val="00691B68"/>
    <w:rsid w:val="0069365C"/>
    <w:rsid w:val="006D0666"/>
    <w:rsid w:val="006E360A"/>
    <w:rsid w:val="006F09A0"/>
    <w:rsid w:val="006F6270"/>
    <w:rsid w:val="007811B2"/>
    <w:rsid w:val="00796E85"/>
    <w:rsid w:val="007B1F7C"/>
    <w:rsid w:val="007C4DAB"/>
    <w:rsid w:val="00820A87"/>
    <w:rsid w:val="008230F5"/>
    <w:rsid w:val="00837374"/>
    <w:rsid w:val="00872365"/>
    <w:rsid w:val="008E71D9"/>
    <w:rsid w:val="00955F26"/>
    <w:rsid w:val="00956D11"/>
    <w:rsid w:val="009867C9"/>
    <w:rsid w:val="00996EBD"/>
    <w:rsid w:val="009A2E41"/>
    <w:rsid w:val="009C239B"/>
    <w:rsid w:val="009E4141"/>
    <w:rsid w:val="009E5C1C"/>
    <w:rsid w:val="00A3789F"/>
    <w:rsid w:val="00A5794B"/>
    <w:rsid w:val="00A80A77"/>
    <w:rsid w:val="00AE593A"/>
    <w:rsid w:val="00AF76B3"/>
    <w:rsid w:val="00B12C9C"/>
    <w:rsid w:val="00B24A38"/>
    <w:rsid w:val="00B64DCF"/>
    <w:rsid w:val="00B85C96"/>
    <w:rsid w:val="00B95A59"/>
    <w:rsid w:val="00BC2CE8"/>
    <w:rsid w:val="00CB118D"/>
    <w:rsid w:val="00D65161"/>
    <w:rsid w:val="00D907E6"/>
    <w:rsid w:val="00D91D19"/>
    <w:rsid w:val="00DA4B31"/>
    <w:rsid w:val="00DC0815"/>
    <w:rsid w:val="00DC42F0"/>
    <w:rsid w:val="00DE6ABF"/>
    <w:rsid w:val="00E0127F"/>
    <w:rsid w:val="00E01344"/>
    <w:rsid w:val="00E2556E"/>
    <w:rsid w:val="00E27B96"/>
    <w:rsid w:val="00E45649"/>
    <w:rsid w:val="00E75B25"/>
    <w:rsid w:val="00EA2261"/>
    <w:rsid w:val="00F06747"/>
    <w:rsid w:val="00F1081B"/>
    <w:rsid w:val="00F16817"/>
    <w:rsid w:val="00F21ECF"/>
    <w:rsid w:val="00F339ED"/>
    <w:rsid w:val="00F3626B"/>
    <w:rsid w:val="00F41B44"/>
    <w:rsid w:val="00F84E89"/>
    <w:rsid w:val="00FA2BB3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CFA1"/>
  <w15:chartTrackingRefBased/>
  <w15:docId w15:val="{71D96B08-267B-49A6-8193-EFC946F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C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5161"/>
  </w:style>
  <w:style w:type="paragraph" w:styleId="a7">
    <w:name w:val="footer"/>
    <w:basedOn w:val="a"/>
    <w:link w:val="a8"/>
    <w:uiPriority w:val="99"/>
    <w:unhideWhenUsed/>
    <w:rsid w:val="00D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2;&#1059;&#1047;\&#1069;&#1040;\&#1080;&#1085;&#1076;&#1080;&#1074;&#1080;&#1076;%20&#1088;&#1072;&#1073;&#1086;&#1090;&#107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2;&#1059;&#1047;\&#1069;&#1040;\&#1080;&#1085;&#1076;&#1080;&#1074;&#1080;&#1076;%20&#1088;&#1072;&#1073;&#1086;&#1090;&#1072;.xlsx" TargetMode="External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2;&#1059;&#1047;\&#1069;&#1040;\&#1080;&#1085;&#1076;&#1080;&#1074;&#1080;&#1076;%20&#1088;&#1072;&#1073;&#1086;&#1090;&#107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2;&#1059;&#1047;\&#1069;&#1040;\&#1080;&#1085;&#1076;&#1080;&#1074;&#1080;&#1076;%20&#1088;&#1072;&#1073;&#1086;&#1090;&#107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2;&#1059;&#1047;\&#1069;&#1040;\&#1080;&#1085;&#1076;&#1080;&#1074;&#1080;&#1076;%20&#1088;&#1072;&#1073;&#1086;&#1090;&#1072;%20&#1089;%20&#1087;&#1088;&#1086;&#1076;&#1086;&#1083;&#1078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посевных</a:t>
            </a:r>
            <a:r>
              <a:rPr lang="ru-RU" baseline="0"/>
              <a:t> площадей сельскохозяйственных культур за 2011, 2020 год,тыс. га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Лист3!$A$2:$A$5</c:f>
              <c:strCache>
                <c:ptCount val="4"/>
                <c:pt idx="0">
                  <c:v>Посевная площадь зерновых и зернобобовых культур</c:v>
                </c:pt>
                <c:pt idx="1">
                  <c:v>Посевная площадь технических культур</c:v>
                </c:pt>
                <c:pt idx="2">
                  <c:v>Посевная площадь картофеля и овощебахчевых культур</c:v>
                </c:pt>
                <c:pt idx="3">
                  <c:v>Посевная площадь
кормовых культур</c:v>
                </c:pt>
              </c:strCache>
            </c:strRef>
          </c:cat>
          <c:val>
            <c:numRef>
              <c:f>Лист3!$B$2:$B$5</c:f>
              <c:numCache>
                <c:formatCode>0.0</c:formatCode>
                <c:ptCount val="4"/>
                <c:pt idx="0">
                  <c:v>570.6</c:v>
                </c:pt>
                <c:pt idx="1">
                  <c:v>261.2</c:v>
                </c:pt>
                <c:pt idx="2">
                  <c:v>47.5</c:v>
                </c:pt>
                <c:pt idx="3">
                  <c:v>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9-4016-8CF9-156F6DA20B08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Лист3!$A$2:$A$5</c:f>
              <c:strCache>
                <c:ptCount val="4"/>
                <c:pt idx="0">
                  <c:v>Посевная площадь зерновых и зернобобовых культур</c:v>
                </c:pt>
                <c:pt idx="1">
                  <c:v>Посевная площадь технических культур</c:v>
                </c:pt>
                <c:pt idx="2">
                  <c:v>Посевная площадь картофеля и овощебахчевых культур</c:v>
                </c:pt>
                <c:pt idx="3">
                  <c:v>Посевная площадь
кормовых культур</c:v>
                </c:pt>
              </c:strCache>
            </c:strRef>
          </c:cat>
          <c:val>
            <c:numRef>
              <c:f>Лист3!$C$2:$C$5</c:f>
              <c:numCache>
                <c:formatCode>0.0</c:formatCode>
                <c:ptCount val="4"/>
                <c:pt idx="0">
                  <c:v>850.5</c:v>
                </c:pt>
                <c:pt idx="1">
                  <c:v>410.1</c:v>
                </c:pt>
                <c:pt idx="2">
                  <c:v>31.3</c:v>
                </c:pt>
                <c:pt idx="3">
                  <c:v>161.4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E9-4016-8CF9-156F6DA20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200216"/>
        <c:axId val="392197264"/>
      </c:barChart>
      <c:catAx>
        <c:axId val="392200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197264"/>
        <c:crosses val="autoZero"/>
        <c:auto val="1"/>
        <c:lblAlgn val="ctr"/>
        <c:lblOffset val="100"/>
        <c:noMultiLvlLbl val="0"/>
      </c:catAx>
      <c:valAx>
        <c:axId val="39219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тыс.</a:t>
                </a:r>
                <a:r>
                  <a:rPr lang="ru-RU" baseline="0"/>
                  <a:t> га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200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зерновых культур в общей площади посевов,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267498784874113"/>
          <c:y val="0.1531062951496388"/>
          <c:w val="0.83213982696607369"/>
          <c:h val="0.663598319559900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Лист2!$A$4</c:f>
              <c:strCache>
                <c:ptCount val="1"/>
                <c:pt idx="0">
                  <c:v>Удельны вес зерновых культур в общей площади посевов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Лист2!$B$1:$K$1</c:f>
              <c:numCache>
                <c:formatCode>0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Лист2!$B$4:$K$4</c:f>
              <c:numCache>
                <c:formatCode>0.0</c:formatCode>
                <c:ptCount val="10"/>
                <c:pt idx="0">
                  <c:v>49.479708636836627</c:v>
                </c:pt>
                <c:pt idx="1">
                  <c:v>51.572761838921529</c:v>
                </c:pt>
                <c:pt idx="2">
                  <c:v>50.808559294348257</c:v>
                </c:pt>
                <c:pt idx="3">
                  <c:v>46.437325669850395</c:v>
                </c:pt>
                <c:pt idx="4">
                  <c:v>53.736627414761799</c:v>
                </c:pt>
                <c:pt idx="5">
                  <c:v>53.428550063560905</c:v>
                </c:pt>
                <c:pt idx="6">
                  <c:v>52.320858717725557</c:v>
                </c:pt>
                <c:pt idx="7">
                  <c:v>51.969872537659334</c:v>
                </c:pt>
                <c:pt idx="8">
                  <c:v>56.441717791411051</c:v>
                </c:pt>
                <c:pt idx="9">
                  <c:v>58.521984449184615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66-4121-A826-A4FD17CCED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970768"/>
        <c:axId val="450971096"/>
      </c:barChart>
      <c:catAx>
        <c:axId val="4509707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46763842654355531"/>
              <c:y val="0.899153758882995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971096"/>
        <c:crosses val="autoZero"/>
        <c:auto val="1"/>
        <c:lblAlgn val="ctr"/>
        <c:lblOffset val="100"/>
        <c:noMultiLvlLbl val="0"/>
      </c:catAx>
      <c:valAx>
        <c:axId val="450971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970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Структура зернового клина Пензенской</a:t>
            </a:r>
            <a:r>
              <a:rPr lang="ru-RU" sz="1600" baseline="0"/>
              <a:t> области за 2020 г., %</a:t>
            </a:r>
            <a:endParaRPr lang="ru-RU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5D-4BD9-A7D2-1DF32DC4FC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5D-4BD9-A7D2-1DF32DC4FC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5D-4BD9-A7D2-1DF32DC4FC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C5D-4BD9-A7D2-1DF32DC4FC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C5D-4BD9-A7D2-1DF32DC4FC7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C5D-4BD9-A7D2-1DF32DC4FC7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C5D-4BD9-A7D2-1DF32DC4FC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Лист4!$A$2:$A$8</c:f>
              <c:strCache>
                <c:ptCount val="7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просо</c:v>
                </c:pt>
                <c:pt idx="4">
                  <c:v>гречиха</c:v>
                </c:pt>
                <c:pt idx="5">
                  <c:v>зернобобовые</c:v>
                </c:pt>
                <c:pt idx="6">
                  <c:v>рожь</c:v>
                </c:pt>
              </c:strCache>
            </c:strRef>
          </c:cat>
          <c:val>
            <c:numRef>
              <c:f>Лист4!$B$2:$B$8</c:f>
              <c:numCache>
                <c:formatCode>0.0</c:formatCode>
                <c:ptCount val="7"/>
                <c:pt idx="0">
                  <c:v>595.79999999999995</c:v>
                </c:pt>
                <c:pt idx="1">
                  <c:v>130.80000000000001</c:v>
                </c:pt>
                <c:pt idx="2">
                  <c:v>28.2</c:v>
                </c:pt>
                <c:pt idx="3">
                  <c:v>10.3</c:v>
                </c:pt>
                <c:pt idx="4">
                  <c:v>4.3</c:v>
                </c:pt>
                <c:pt idx="5">
                  <c:v>34.6</c:v>
                </c:pt>
                <c:pt idx="6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C5D-4BD9-A7D2-1DF32DC4FC7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Динамика</a:t>
            </a:r>
            <a:r>
              <a:rPr lang="ru-RU" sz="1600" baseline="0"/>
              <a:t> среднего пятилетнего значения валового сбора за период с 1970 по 2019 гг., тыс. тонн</a:t>
            </a:r>
            <a:endParaRPr lang="ru-RU" sz="1600"/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marker>
            <c:symbol val="diamond"/>
            <c:size val="5"/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marker>
          <c:dPt>
            <c:idx val="0"/>
            <c:marker>
              <c:symbol val="diamond"/>
              <c:size val="10"/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AE89-4ED6-8227-2D8F61D6159B}"/>
              </c:ext>
            </c:extLst>
          </c:dPt>
          <c:dPt>
            <c:idx val="8"/>
            <c:marker>
              <c:symbol val="diamond"/>
              <c:size val="10"/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AE89-4ED6-8227-2D8F61D6159B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4E-43A9-965D-AED6DF7ED5F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4E-43A9-965D-AED6DF7ED5F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4E-43A9-965D-AED6DF7ED5F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4E-43A9-965D-AED6DF7ED5F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04E-43A9-965D-AED6DF7ED5F3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04E-43A9-965D-AED6DF7ED5F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04E-43A9-965D-AED6DF7ED5F3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04E-43A9-965D-AED6DF7ED5F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'E:\[ЗК Пензенская обоасть.xlsx]ВС зерна'!$C$10:$C$19</c:f>
              <c:strCache>
                <c:ptCount val="10"/>
                <c:pt idx="0">
                  <c:v>1970-1974</c:v>
                </c:pt>
                <c:pt idx="1">
                  <c:v>1975-1979</c:v>
                </c:pt>
                <c:pt idx="2">
                  <c:v>1980-1984</c:v>
                </c:pt>
                <c:pt idx="3">
                  <c:v>1985-1989</c:v>
                </c:pt>
                <c:pt idx="4">
                  <c:v>1990-1994</c:v>
                </c:pt>
                <c:pt idx="5">
                  <c:v>1995-1999</c:v>
                </c:pt>
                <c:pt idx="6">
                  <c:v>2000-2004</c:v>
                </c:pt>
                <c:pt idx="7">
                  <c:v>2005-2009</c:v>
                </c:pt>
                <c:pt idx="8">
                  <c:v>2010-2014</c:v>
                </c:pt>
                <c:pt idx="9">
                  <c:v>2015-2019</c:v>
                </c:pt>
              </c:strCache>
            </c:strRef>
          </c:cat>
          <c:val>
            <c:numRef>
              <c:f>'E:\[ЗК Пензенская обоасть.xlsx]ВС зерна'!$D$10:$D$19</c:f>
              <c:numCache>
                <c:formatCode>General</c:formatCode>
                <c:ptCount val="10"/>
                <c:pt idx="0">
                  <c:v>2604.06</c:v>
                </c:pt>
                <c:pt idx="1">
                  <c:v>2057.3199999999997</c:v>
                </c:pt>
                <c:pt idx="2">
                  <c:v>1771.3799999999999</c:v>
                </c:pt>
                <c:pt idx="3">
                  <c:v>2026.2400000000002</c:v>
                </c:pt>
                <c:pt idx="4">
                  <c:v>1760.1800000000003</c:v>
                </c:pt>
                <c:pt idx="5">
                  <c:v>1191.8200000000002</c:v>
                </c:pt>
                <c:pt idx="6">
                  <c:v>1034.2400000000002</c:v>
                </c:pt>
                <c:pt idx="7">
                  <c:v>1286.8200000000002</c:v>
                </c:pt>
                <c:pt idx="8">
                  <c:v>996.07999999999993</c:v>
                </c:pt>
                <c:pt idx="9">
                  <c:v>2036.1599999999999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89-4ED6-8227-2D8F61D61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908544"/>
        <c:axId val="228806016"/>
      </c:lineChart>
      <c:catAx>
        <c:axId val="172908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49958936212868038"/>
              <c:y val="0.92263646602185778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228806016"/>
        <c:crosses val="autoZero"/>
        <c:auto val="1"/>
        <c:lblAlgn val="ctr"/>
        <c:lblOffset val="100"/>
        <c:noMultiLvlLbl val="0"/>
      </c:catAx>
      <c:valAx>
        <c:axId val="2288060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тыс.тонн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29085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валового сбора и урожайность зерновых</a:t>
            </a:r>
            <a:r>
              <a:rPr lang="ru-RU" baseline="0"/>
              <a:t> культур в период с 2011-2020 гг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Лист7!$A$2</c:f>
              <c:strCache>
                <c:ptCount val="1"/>
                <c:pt idx="0">
                  <c:v>Вс, тыс. тонн.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Лист7!$B$1:$K$1</c:f>
              <c:numCache>
                <c:formatCode>0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Лист7!$B$2:$K$2</c:f>
              <c:numCache>
                <c:formatCode>0.0</c:formatCode>
                <c:ptCount val="10"/>
                <c:pt idx="0">
                  <c:v>986.1</c:v>
                </c:pt>
                <c:pt idx="1">
                  <c:v>815.6</c:v>
                </c:pt>
                <c:pt idx="2">
                  <c:v>1400</c:v>
                </c:pt>
                <c:pt idx="3">
                  <c:v>1351</c:v>
                </c:pt>
                <c:pt idx="4">
                  <c:v>1720.4</c:v>
                </c:pt>
                <c:pt idx="5">
                  <c:v>2094.9</c:v>
                </c:pt>
                <c:pt idx="6">
                  <c:v>2539</c:v>
                </c:pt>
                <c:pt idx="7">
                  <c:v>1837.6</c:v>
                </c:pt>
                <c:pt idx="8">
                  <c:v>1988.9</c:v>
                </c:pt>
                <c:pt idx="9">
                  <c:v>3384.9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97-448B-8000-F365CE4E96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93917432"/>
        <c:axId val="393918088"/>
      </c:barChart>
      <c:lineChart>
        <c:grouping val="standard"/>
        <c:varyColors val="0"/>
        <c:ser>
          <c:idx val="1"/>
          <c:order val="1"/>
          <c:tx>
            <c:strRef>
              <c:f>Лист7!$A$3</c:f>
              <c:strCache>
                <c:ptCount val="1"/>
                <c:pt idx="0">
                  <c:v>урожайность зерновых и зернобобовых культур, ц с 1 га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9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Лист7!$B$1:$K$1</c:f>
              <c:numCache>
                <c:formatCode>0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Лист7!$B$3:$K$3</c:f>
              <c:numCache>
                <c:formatCode>0.0</c:formatCode>
                <c:ptCount val="10"/>
                <c:pt idx="0">
                  <c:v>15.3</c:v>
                </c:pt>
                <c:pt idx="1">
                  <c:v>12.6</c:v>
                </c:pt>
                <c:pt idx="2">
                  <c:v>20.8</c:v>
                </c:pt>
                <c:pt idx="3">
                  <c:v>23</c:v>
                </c:pt>
                <c:pt idx="4">
                  <c:v>22.3</c:v>
                </c:pt>
                <c:pt idx="5">
                  <c:v>27.3</c:v>
                </c:pt>
                <c:pt idx="6">
                  <c:v>32.9</c:v>
                </c:pt>
                <c:pt idx="7">
                  <c:v>24.3</c:v>
                </c:pt>
                <c:pt idx="8">
                  <c:v>23.2</c:v>
                </c:pt>
                <c:pt idx="9">
                  <c:v>37.9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97-448B-8000-F365CE4E96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60224728"/>
        <c:axId val="560231944"/>
      </c:lineChart>
      <c:valAx>
        <c:axId val="560231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ц с 1 га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224728"/>
        <c:crosses val="autoZero"/>
        <c:crossBetween val="between"/>
      </c:valAx>
      <c:catAx>
        <c:axId val="560224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231944"/>
        <c:crosses val="autoZero"/>
        <c:auto val="1"/>
        <c:lblAlgn val="ctr"/>
        <c:lblOffset val="100"/>
        <c:noMultiLvlLbl val="0"/>
      </c:catAx>
      <c:valAx>
        <c:axId val="39391808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3917432"/>
        <c:crosses val="max"/>
        <c:crossBetween val="between"/>
      </c:valAx>
      <c:catAx>
        <c:axId val="393917432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extTo"/>
        <c:crossAx val="3939180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/>
              <a:t>Валовый сбор зерна</a:t>
            </a:r>
            <a:r>
              <a:rPr lang="ru-RU" sz="2000" baseline="0"/>
              <a:t> в регионах ПФО за 2020 год, тыс. ц</a:t>
            </a:r>
            <a:endParaRPr lang="ru-RU" sz="2000"/>
          </a:p>
        </c:rich>
      </c:tx>
      <c:layout>
        <c:manualLayout>
          <c:xMode val="edge"/>
          <c:yMode val="edge"/>
          <c:x val="0.14115819740039126"/>
          <c:y val="1.9093078758949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Лист8!$A$3:$A$16</c:f>
              <c:strCache>
                <c:ptCount val="14"/>
                <c:pt idx="0">
                  <c:v>        Республика Татарстан (Татарстан)</c:v>
                </c:pt>
                <c:pt idx="1">
                  <c:v>        Пензенская область</c:v>
                </c:pt>
                <c:pt idx="2">
                  <c:v>        Саратовская область</c:v>
                </c:pt>
                <c:pt idx="3">
                  <c:v>        Республика Башкортостан</c:v>
                </c:pt>
                <c:pt idx="4">
                  <c:v>        Оренбургская область</c:v>
                </c:pt>
                <c:pt idx="5">
                  <c:v>        Самарская область</c:v>
                </c:pt>
                <c:pt idx="6">
                  <c:v>        Ульяновская область</c:v>
                </c:pt>
                <c:pt idx="7">
                  <c:v>        Республика Мордовия</c:v>
                </c:pt>
                <c:pt idx="8">
                  <c:v>        Нижегородская область</c:v>
                </c:pt>
                <c:pt idx="9">
                  <c:v>        Чувашская Республика - Чувашия</c:v>
                </c:pt>
                <c:pt idx="10">
                  <c:v>        Кировская область</c:v>
                </c:pt>
                <c:pt idx="11">
                  <c:v>        Удмуртская Республика</c:v>
                </c:pt>
                <c:pt idx="12">
                  <c:v>        Республика Марий Эл</c:v>
                </c:pt>
                <c:pt idx="13">
                  <c:v>        Пермский край</c:v>
                </c:pt>
              </c:strCache>
            </c:strRef>
          </c:cat>
          <c:val>
            <c:numRef>
              <c:f>Лист8!$B$3:$B$16</c:f>
              <c:numCache>
                <c:formatCode>General</c:formatCode>
                <c:ptCount val="14"/>
                <c:pt idx="0">
                  <c:v>52007.64</c:v>
                </c:pt>
                <c:pt idx="1">
                  <c:v>32217.26</c:v>
                </c:pt>
                <c:pt idx="2">
                  <c:v>53035.42</c:v>
                </c:pt>
                <c:pt idx="3">
                  <c:v>38393.06</c:v>
                </c:pt>
                <c:pt idx="4">
                  <c:v>35895.769999999997</c:v>
                </c:pt>
                <c:pt idx="5">
                  <c:v>29235.99</c:v>
                </c:pt>
                <c:pt idx="6">
                  <c:v>20158.3</c:v>
                </c:pt>
                <c:pt idx="7">
                  <c:v>16218.43</c:v>
                </c:pt>
                <c:pt idx="8">
                  <c:v>16145.86</c:v>
                </c:pt>
                <c:pt idx="9">
                  <c:v>9405.15</c:v>
                </c:pt>
                <c:pt idx="10">
                  <c:v>6521.6</c:v>
                </c:pt>
                <c:pt idx="11">
                  <c:v>6476.65</c:v>
                </c:pt>
                <c:pt idx="12">
                  <c:v>3177.28</c:v>
                </c:pt>
                <c:pt idx="13">
                  <c:v>3567.15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47-49D4-A725-598F37427A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61120904"/>
        <c:axId val="461118280"/>
      </c:barChart>
      <c:catAx>
        <c:axId val="461120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1118280"/>
        <c:crosses val="autoZero"/>
        <c:auto val="1"/>
        <c:lblAlgn val="ctr"/>
        <c:lblOffset val="100"/>
        <c:noMultiLvlLbl val="0"/>
      </c:catAx>
      <c:valAx>
        <c:axId val="461118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тыс. ц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1120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Динамика валового сбора зерна по районам Пензенской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5273840769903763"/>
          <c:y val="8.4825614636935387E-2"/>
          <c:w val="0.81775809273840783"/>
          <c:h val="0.7925254025922574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 часть'!$A$9:$A$35</c:f>
              <c:strCache>
                <c:ptCount val="27"/>
                <c:pt idx="0">
                  <c:v>Белинский</c:v>
                </c:pt>
                <c:pt idx="1">
                  <c:v>Каменский</c:v>
                </c:pt>
                <c:pt idx="2">
                  <c:v>Пензенский</c:v>
                </c:pt>
                <c:pt idx="3">
                  <c:v>Башмаковский</c:v>
                </c:pt>
                <c:pt idx="4">
                  <c:v>Колышлейский</c:v>
                </c:pt>
                <c:pt idx="5">
                  <c:v>Тамалинский</c:v>
                </c:pt>
                <c:pt idx="6">
                  <c:v>Сердобский</c:v>
                </c:pt>
                <c:pt idx="7">
                  <c:v>Нижнеломовский</c:v>
                </c:pt>
                <c:pt idx="8">
                  <c:v>Мокшанский</c:v>
                </c:pt>
                <c:pt idx="9">
                  <c:v>Земетчинский</c:v>
                </c:pt>
                <c:pt idx="10">
                  <c:v>Бековский</c:v>
                </c:pt>
                <c:pt idx="11">
                  <c:v>Лунинский</c:v>
                </c:pt>
                <c:pt idx="12">
                  <c:v>Пачелмский</c:v>
                </c:pt>
                <c:pt idx="13">
                  <c:v>Спасский</c:v>
                </c:pt>
                <c:pt idx="14">
                  <c:v>Малосердобинский</c:v>
                </c:pt>
                <c:pt idx="15">
                  <c:v>Лопатинский</c:v>
                </c:pt>
                <c:pt idx="16">
                  <c:v>Иссинский</c:v>
                </c:pt>
                <c:pt idx="17">
                  <c:v>Наровчатский</c:v>
                </c:pt>
                <c:pt idx="18">
                  <c:v>Вадинский</c:v>
                </c:pt>
                <c:pt idx="19">
                  <c:v>Шемышейский</c:v>
                </c:pt>
                <c:pt idx="20">
                  <c:v>Кузнецкий</c:v>
                </c:pt>
                <c:pt idx="21">
                  <c:v>Бессоновский</c:v>
                </c:pt>
                <c:pt idx="22">
                  <c:v>Камешкирский</c:v>
                </c:pt>
                <c:pt idx="23">
                  <c:v>Городищенский</c:v>
                </c:pt>
                <c:pt idx="24">
                  <c:v>Неверкинский</c:v>
                </c:pt>
                <c:pt idx="25">
                  <c:v>Никольский</c:v>
                </c:pt>
                <c:pt idx="26">
                  <c:v>Сосновоборский</c:v>
                </c:pt>
              </c:strCache>
            </c:strRef>
          </c:cat>
          <c:val>
            <c:numRef>
              <c:f>'2 часть'!$B$9:$B$35</c:f>
              <c:numCache>
                <c:formatCode>0.0</c:formatCode>
                <c:ptCount val="27"/>
                <c:pt idx="0">
                  <c:v>288.8</c:v>
                </c:pt>
                <c:pt idx="1">
                  <c:v>281.60000000000002</c:v>
                </c:pt>
                <c:pt idx="2">
                  <c:v>254.9</c:v>
                </c:pt>
                <c:pt idx="3">
                  <c:v>231.6</c:v>
                </c:pt>
                <c:pt idx="4">
                  <c:v>196.8</c:v>
                </c:pt>
                <c:pt idx="5">
                  <c:v>184.4</c:v>
                </c:pt>
                <c:pt idx="6">
                  <c:v>183.7</c:v>
                </c:pt>
                <c:pt idx="7">
                  <c:v>178.7</c:v>
                </c:pt>
                <c:pt idx="8">
                  <c:v>153.80000000000001</c:v>
                </c:pt>
                <c:pt idx="9">
                  <c:v>136.80000000000001</c:v>
                </c:pt>
                <c:pt idx="10">
                  <c:v>134.4</c:v>
                </c:pt>
                <c:pt idx="11">
                  <c:v>102.2</c:v>
                </c:pt>
                <c:pt idx="12">
                  <c:v>98.7</c:v>
                </c:pt>
                <c:pt idx="13">
                  <c:v>92.4</c:v>
                </c:pt>
                <c:pt idx="14">
                  <c:v>92</c:v>
                </c:pt>
                <c:pt idx="15">
                  <c:v>88.5</c:v>
                </c:pt>
                <c:pt idx="16">
                  <c:v>86</c:v>
                </c:pt>
                <c:pt idx="17">
                  <c:v>76.400000000000006</c:v>
                </c:pt>
                <c:pt idx="18">
                  <c:v>66.7</c:v>
                </c:pt>
                <c:pt idx="19">
                  <c:v>61.1</c:v>
                </c:pt>
                <c:pt idx="20">
                  <c:v>51.3</c:v>
                </c:pt>
                <c:pt idx="21">
                  <c:v>48.9</c:v>
                </c:pt>
                <c:pt idx="22">
                  <c:v>42.9</c:v>
                </c:pt>
                <c:pt idx="23">
                  <c:v>35.6</c:v>
                </c:pt>
                <c:pt idx="24">
                  <c:v>34.700000000000003</c:v>
                </c:pt>
                <c:pt idx="25">
                  <c:v>11.9</c:v>
                </c:pt>
                <c:pt idx="26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48-454D-B6F5-A6F3F3786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2963608"/>
        <c:axId val="402964592"/>
      </c:barChart>
      <c:catAx>
        <c:axId val="402963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964592"/>
        <c:crosses val="autoZero"/>
        <c:auto val="1"/>
        <c:lblAlgn val="ctr"/>
        <c:lblOffset val="100"/>
        <c:noMultiLvlLbl val="0"/>
      </c:catAx>
      <c:valAx>
        <c:axId val="402964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тыс. тонн</a:t>
                </a:r>
              </a:p>
            </c:rich>
          </c:tx>
          <c:layout>
            <c:manualLayout>
              <c:xMode val="edge"/>
              <c:yMode val="edge"/>
              <c:x val="0.53145078740157481"/>
              <c:y val="0.937267009719839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963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D229-90DB-41E8-8F6F-A8D7D811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Обухова</dc:creator>
  <cp:keywords/>
  <dc:description/>
  <cp:lastModifiedBy>Нина Обухова</cp:lastModifiedBy>
  <cp:revision>97</cp:revision>
  <dcterms:created xsi:type="dcterms:W3CDTF">2021-11-19T05:15:00Z</dcterms:created>
  <dcterms:modified xsi:type="dcterms:W3CDTF">2021-12-09T14:59:00Z</dcterms:modified>
</cp:coreProperties>
</file>