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caps/>
          <w:sz w:val="24"/>
        </w:rPr>
      </w:pPr>
      <w:r w:rsidRPr="00780995">
        <w:rPr>
          <w:rFonts w:ascii="Times New Roman" w:hAnsi="Times New Roman"/>
          <w:caps/>
          <w:sz w:val="24"/>
        </w:rPr>
        <w:t>Методы опытов, построенных по принципу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caps/>
          <w:sz w:val="24"/>
        </w:rPr>
      </w:pPr>
      <w:r w:rsidRPr="00780995">
        <w:rPr>
          <w:rFonts w:ascii="Times New Roman" w:hAnsi="Times New Roman"/>
          <w:caps/>
          <w:sz w:val="24"/>
        </w:rPr>
        <w:t>аналогичности групп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Метод однояйцовых двоен. Сущность метода в том, что пары аналогов представлены однояйцовыми двойнями, или идентичными близнецами, то есть практически одинаковыми животными. Этим самым исключается влияние индивидуальных особенностей животных на исход опыта. Поэтому животных для опыта требуется немного: достаточно 3-4 головы в каждой группе. Однояйцовые двойни образуются в результате оплодотворения сперматозоидом одной яйцеклетки с двумя ядрами, либо яйцеклетками с одним ядром, но сперматозоидом с двумя ядрами. Яйцеклетка может содержать 3 и более ядер и тогда рождается соответственно 3 и более однояйцовых близнецов. Благодаря большой однородности между группами использование этого метода дает наиболее объективные результаты. Недостаток метода в трудности формирования групп. Можно сформировать только две группы, а, следовательно, изучить только один фактор.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Метод пар-аналогов (парный метод) является основным и наиболее универсальным методом зоотехнических исследований. Сущность метода: комплектование подопытных групп производится путем подбора аналогов сходных животных, которых распределяют таким образом, чтобы каждому животному в одной группе соответствовал аналог под этим же порядковым номером в другой группе. Если две группы, подбирают пары, если три – по три аналога под порядковыми номерами: 1-1-1, 2-2-2 и т.д.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Аналогичность должна быть соблюдена по полу, генотипу (породе, породности, происхождению), возрасту, физиологическому состоянию, по основным продуктивным и другим качествам.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Требования к аналогам: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1. Порода и тип животных. Аналогами могут быть только животные одной породы, желательно чистопородные, у них меньше изменчивость. Подопытные животные должны быть типичными для данной породы.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2. Происхождение. У многоплодных животных, например,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свиней аналогов отбирают из одного помета.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3. Пол. Аналогами могут быть только животные одного пола. Например, у бычков приросты массы на 10-15 % выше, чем у телок.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4. Живая масса. Допускаются различия между аналогами до 10 % и не более 2-5 % от среднего показателя для взрослых животных и до 5 % – для молодняка.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5. Продуктивность. Допускаются различия до 8-10 % в удоях, шерстности, яйценоскости.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6. Возраст. Различия до 5 % от нормального срока производственного использования. Для молодняка крупного рогатого скота разница между аналогами не более 10-15 дней, а внутри группы не более 20-25 дней, для лактирующих коров – должны быть одного года рождения и иметь одинаковое количество лактаций, у многоплодных животных (свиньи, кролики) – отбирают из одного помета, 7. Физиологическое состояние. Различия в сроках беременности до 5 % от всей продолжительности плодоношения, по срокам отела у коров – 10-15 дней.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8. Состояние здоровья. Животные должны быть здоровыми, с нормальной половой функцией. Обязателен их осмотр ветврачом. В необходимых случаях проводят ветеринарные обработки, вакцинации, </w:t>
      </w:r>
      <w:proofErr w:type="spellStart"/>
      <w:r w:rsidRPr="00780995">
        <w:rPr>
          <w:rFonts w:ascii="Times New Roman" w:hAnsi="Times New Roman"/>
          <w:sz w:val="24"/>
        </w:rPr>
        <w:t>дегильминтизации</w:t>
      </w:r>
      <w:proofErr w:type="spellEnd"/>
      <w:r w:rsidRPr="00780995">
        <w:rPr>
          <w:rFonts w:ascii="Times New Roman" w:hAnsi="Times New Roman"/>
          <w:sz w:val="24"/>
        </w:rPr>
        <w:t xml:space="preserve"> и т.д.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lastRenderedPageBreak/>
        <w:t xml:space="preserve">9. Упитанность должна быть средняя, или заводская. Истощенные или ожиревшие животные для опыта не годятся.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10. Индивидуальные особенности: состояние аппетита, темперамент, агрессивность также учитывают при подборе аналогов.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Количество групп в опыте зависит от количества изучаемых факторов, плюс одна контрольная группа. Для физиологических исследований </w:t>
      </w:r>
      <w:proofErr w:type="gramStart"/>
      <w:r w:rsidRPr="00780995">
        <w:rPr>
          <w:rFonts w:ascii="Times New Roman" w:hAnsi="Times New Roman"/>
          <w:sz w:val="24"/>
        </w:rPr>
        <w:t>требуется не менее трех животных</w:t>
      </w:r>
      <w:proofErr w:type="gramEnd"/>
      <w:r w:rsidRPr="00780995">
        <w:rPr>
          <w:rFonts w:ascii="Times New Roman" w:hAnsi="Times New Roman"/>
          <w:sz w:val="24"/>
        </w:rPr>
        <w:t xml:space="preserve">, а для </w:t>
      </w:r>
      <w:proofErr w:type="spellStart"/>
      <w:r w:rsidRPr="00780995">
        <w:rPr>
          <w:rFonts w:ascii="Times New Roman" w:hAnsi="Times New Roman"/>
          <w:sz w:val="24"/>
        </w:rPr>
        <w:t>научнохозяйственных</w:t>
      </w:r>
      <w:proofErr w:type="spellEnd"/>
      <w:r w:rsidRPr="00780995">
        <w:rPr>
          <w:rFonts w:ascii="Times New Roman" w:hAnsi="Times New Roman"/>
          <w:sz w:val="24"/>
        </w:rPr>
        <w:t xml:space="preserve"> – не менее 10-15 животных в каждой группе.</w:t>
      </w:r>
    </w:p>
    <w:p w:rsidR="00217649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Сформированные группы животных по принципу </w:t>
      </w:r>
      <w:proofErr w:type="spellStart"/>
      <w:r w:rsidRPr="00780995">
        <w:rPr>
          <w:rFonts w:ascii="Times New Roman" w:hAnsi="Times New Roman"/>
          <w:sz w:val="24"/>
        </w:rPr>
        <w:t>параналогов</w:t>
      </w:r>
      <w:proofErr w:type="spellEnd"/>
      <w:r w:rsidRPr="00780995">
        <w:rPr>
          <w:rFonts w:ascii="Times New Roman" w:hAnsi="Times New Roman"/>
          <w:sz w:val="24"/>
        </w:rPr>
        <w:t xml:space="preserve"> проверяют по средне групповым показателям. Отклонения по количественным признакам между группами должно быть минимальным и составлять в среднем не более 2 %. Затем одну из них (любую, определяют путем жеребьевки) используют как опытную, а другую в качестве контрольной группы (табл. 1) </w:t>
      </w:r>
    </w:p>
    <w:p w:rsidR="00217649" w:rsidRDefault="00217649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217649" w:rsidRDefault="00176FDE" w:rsidP="0045456A">
      <w:pPr>
        <w:spacing w:after="0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noProof/>
          <w:sz w:val="24"/>
        </w:rPr>
        <w:drawing>
          <wp:inline distT="0" distB="0" distL="0" distR="0">
            <wp:extent cx="5153566" cy="1846053"/>
            <wp:effectExtent l="19050" t="0" r="89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470" cy="184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Контрольная группа животных во все периоды опыта получает основной комплекс (ОК) факторов кормления и содержания.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Опытная группа в переходный период постепенно начинает получать изучаемый фактор (А) сверх основного комплекса или вместо части его. В главный период опытная группа получает изучаемый фактор в полном объеме.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Результаты опыта оценивают по разности в показателях между группами в главный период опыта.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Назначение периодов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Уравнительный период имеет цель – адаптировать животных к новым условиям содержания и кормления, уравнять подопытные группы. Возможна перестановка животных из группы в группу или их замена. Изучают поведение животных в группе, </w:t>
      </w:r>
      <w:proofErr w:type="spellStart"/>
      <w:r w:rsidRPr="00780995">
        <w:rPr>
          <w:rFonts w:ascii="Times New Roman" w:hAnsi="Times New Roman"/>
          <w:sz w:val="24"/>
        </w:rPr>
        <w:t>поедаемость</w:t>
      </w:r>
      <w:proofErr w:type="spellEnd"/>
      <w:r w:rsidRPr="00780995">
        <w:rPr>
          <w:rFonts w:ascii="Times New Roman" w:hAnsi="Times New Roman"/>
          <w:sz w:val="24"/>
        </w:rPr>
        <w:t xml:space="preserve"> кормов, проводят </w:t>
      </w:r>
      <w:proofErr w:type="spellStart"/>
      <w:r w:rsidRPr="00780995">
        <w:rPr>
          <w:rFonts w:ascii="Times New Roman" w:hAnsi="Times New Roman"/>
          <w:sz w:val="24"/>
        </w:rPr>
        <w:t>зооветобработки</w:t>
      </w:r>
      <w:proofErr w:type="spellEnd"/>
      <w:r w:rsidRPr="00780995">
        <w:rPr>
          <w:rFonts w:ascii="Times New Roman" w:hAnsi="Times New Roman"/>
          <w:sz w:val="24"/>
        </w:rPr>
        <w:t xml:space="preserve"> (обрезка копыт и рогов, прививки и т.д.). Продолжительность уравнительного периода зависит от цели и задач исследования, и составляют обычно 2-3 недели. В опытах по кормлению на продолжительность уравнительного периода влияет скорость прохождения кормов через пищеварительный тракт. У разных видов животных она разная: у овец – около 3 недель, у взрослого крупного рогатого скота – около 2 недель, у телят – молочников, лошадей, свиней, взрослой птицы – около 1 недели. Столько же может длиться и уравнительный период. Этот период можно исключить в опытах на телятах молозивного периода, на цыплятах, когда группы формируют в суточном возрасте.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Переходный период необходимо для постепенного перехода на изучаемый режим, то есть изучаемый фактор вводят постепенно во избежание стрессов. Например, при введении в рацион небелковых азотистых добавок на полную дозу переходят постепенно в </w:t>
      </w:r>
      <w:r w:rsidRPr="00780995">
        <w:rPr>
          <w:rFonts w:ascii="Times New Roman" w:hAnsi="Times New Roman"/>
          <w:sz w:val="24"/>
        </w:rPr>
        <w:lastRenderedPageBreak/>
        <w:t xml:space="preserve">течение 10-15 дней, иначе неизбежно отравление животных. </w:t>
      </w:r>
      <w:proofErr w:type="spellStart"/>
      <w:r w:rsidRPr="00780995">
        <w:rPr>
          <w:rFonts w:ascii="Times New Roman" w:hAnsi="Times New Roman"/>
          <w:sz w:val="24"/>
        </w:rPr>
        <w:t>Переводживотных</w:t>
      </w:r>
      <w:proofErr w:type="spellEnd"/>
      <w:r w:rsidRPr="00780995">
        <w:rPr>
          <w:rFonts w:ascii="Times New Roman" w:hAnsi="Times New Roman"/>
          <w:sz w:val="24"/>
        </w:rPr>
        <w:t xml:space="preserve"> из группы в группы в этот период не допускается. Но переходный период можно исключить, если изучаемый фактор не оказывает резкого влияния на животных. Например, добавку витаминных препаратов можно включить в рацион сразу в полном объеме.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Продолжительность переходного периода зависит от цели и задачи опыта.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Главный (учетный) период опыта начинается сразу после переходного. Животные получают изучаемый фактор в полном объеме. Минимальная продолжительность периода 45-60 суток. Часто этот период занимает весь производственный или физиологический цикл, например, период откорма, выращивания, лактации, беременность и т.д. В главный период определяют показатели продуктивности, расход кормов, изучают биохимические показатели крови, продукции, баланс отдельных веществ в организме и т.д. в соответствии с методикой опыта. Если в этот период выбывает по </w:t>
      </w:r>
      <w:proofErr w:type="spellStart"/>
      <w:r w:rsidRPr="00780995">
        <w:rPr>
          <w:rFonts w:ascii="Times New Roman" w:hAnsi="Times New Roman"/>
          <w:sz w:val="24"/>
        </w:rPr>
        <w:t>какойлибо</w:t>
      </w:r>
      <w:proofErr w:type="spellEnd"/>
      <w:r w:rsidRPr="00780995">
        <w:rPr>
          <w:rFonts w:ascii="Times New Roman" w:hAnsi="Times New Roman"/>
          <w:sz w:val="24"/>
        </w:rPr>
        <w:t xml:space="preserve"> причине животное из одной группы, то его аналог из другой группы тоже выводится из опыта.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Метод пар-аналогов является основным в опытной работе. Он позволяет изучить действие различных факторов (наследственных, </w:t>
      </w:r>
      <w:proofErr w:type="spellStart"/>
      <w:r w:rsidRPr="00780995">
        <w:rPr>
          <w:rFonts w:ascii="Times New Roman" w:hAnsi="Times New Roman"/>
          <w:sz w:val="24"/>
        </w:rPr>
        <w:t>кормленческих</w:t>
      </w:r>
      <w:proofErr w:type="spellEnd"/>
      <w:r w:rsidRPr="00780995">
        <w:rPr>
          <w:rFonts w:ascii="Times New Roman" w:hAnsi="Times New Roman"/>
          <w:sz w:val="24"/>
        </w:rPr>
        <w:t xml:space="preserve">, технологических и др.) на животных в течение длительного периода, то есть в динамике развивающегося организма.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Поэтому этот метод дает возможность сделать более обоснованные выводы, получить более объективные данные. Недостаток метода в том, что оценка изучаемых факторов производится на разных, хотя и сходных животных, но полного сходства групп добиться невозможно. Метод требует большего числа животных, а это ведет к увеличению затрат на проведение опыта. Метод сбалансированных групп-аналогов.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Этот метод применяется в том случае, когда нет возможности </w:t>
      </w:r>
      <w:proofErr w:type="gramStart"/>
      <w:r w:rsidRPr="00780995">
        <w:rPr>
          <w:rFonts w:ascii="Times New Roman" w:hAnsi="Times New Roman"/>
          <w:sz w:val="24"/>
        </w:rPr>
        <w:t>отобрать необходимое количество аналогичных пар животных согласно схеме опыта и нет достаточных данных об их происхождении</w:t>
      </w:r>
      <w:proofErr w:type="gramEnd"/>
      <w:r w:rsidRPr="00780995">
        <w:rPr>
          <w:rFonts w:ascii="Times New Roman" w:hAnsi="Times New Roman"/>
          <w:sz w:val="24"/>
        </w:rPr>
        <w:t>. Поэтому для опыта отбирают примерно одинаковых животных по возрасту, живой массе, т.е. по фенотипическим признакам, в количестве 1,5-2 раза большем, чем нужно для метода пар-аналогов (25-30 голов). Этим компенсируется возможные генотипические различия животных. Отобранных для опыта животных по группам распределяют случайным методом (</w:t>
      </w:r>
      <w:proofErr w:type="spellStart"/>
      <w:r w:rsidRPr="00780995">
        <w:rPr>
          <w:rFonts w:ascii="Times New Roman" w:hAnsi="Times New Roman"/>
          <w:sz w:val="24"/>
        </w:rPr>
        <w:t>рэндомизировано</w:t>
      </w:r>
      <w:proofErr w:type="spellEnd"/>
      <w:r w:rsidRPr="00780995">
        <w:rPr>
          <w:rFonts w:ascii="Times New Roman" w:hAnsi="Times New Roman"/>
          <w:sz w:val="24"/>
        </w:rPr>
        <w:t xml:space="preserve">), что является важным методическим моментом. В этом методе соблюдается лишь аналогичность сравниваемых групп по их средним показателям в целом, а не аналогичность отдельных пар животных. Если разница между средними показателями по группам превышает 5 %, животных заменяют.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Метод групп-аналогов достаточно часто применяется в зоотехнических исследованиях и может дать достаточно обнадеживающие результаты только при высокой степени достоверности сравниваемых показателей (P&lt;0,05 и выше). Для глубоких физиологических и биохимических исследований этот метод не применим.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Метод миниатюрного, или модельного стада (</w:t>
      </w:r>
      <w:proofErr w:type="spellStart"/>
      <w:r w:rsidRPr="00780995">
        <w:rPr>
          <w:rFonts w:ascii="Times New Roman" w:hAnsi="Times New Roman"/>
          <w:sz w:val="24"/>
        </w:rPr>
        <w:t>министада</w:t>
      </w:r>
      <w:proofErr w:type="spellEnd"/>
      <w:r w:rsidRPr="00780995">
        <w:rPr>
          <w:rFonts w:ascii="Times New Roman" w:hAnsi="Times New Roman"/>
          <w:sz w:val="24"/>
        </w:rPr>
        <w:t xml:space="preserve">) </w:t>
      </w:r>
    </w:p>
    <w:p w:rsidR="00217649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Сущность метода: по принципу случайного отбора (жеребьевкой) формируют опытную группу (</w:t>
      </w:r>
      <w:proofErr w:type="spellStart"/>
      <w:r w:rsidRPr="00780995">
        <w:rPr>
          <w:rFonts w:ascii="Times New Roman" w:hAnsi="Times New Roman"/>
          <w:sz w:val="24"/>
        </w:rPr>
        <w:t>министадо</w:t>
      </w:r>
      <w:proofErr w:type="spellEnd"/>
      <w:r w:rsidRPr="00780995">
        <w:rPr>
          <w:rFonts w:ascii="Times New Roman" w:hAnsi="Times New Roman"/>
          <w:sz w:val="24"/>
        </w:rPr>
        <w:t xml:space="preserve">), которая должна быть моделью (копией) всего стада. При формировании </w:t>
      </w:r>
      <w:proofErr w:type="spellStart"/>
      <w:r w:rsidRPr="00780995">
        <w:rPr>
          <w:rFonts w:ascii="Times New Roman" w:hAnsi="Times New Roman"/>
          <w:sz w:val="24"/>
        </w:rPr>
        <w:t>министада</w:t>
      </w:r>
      <w:proofErr w:type="spellEnd"/>
      <w:r w:rsidRPr="00780995">
        <w:rPr>
          <w:rFonts w:ascii="Times New Roman" w:hAnsi="Times New Roman"/>
          <w:sz w:val="24"/>
        </w:rPr>
        <w:t xml:space="preserve"> поголовье фермы условно распределяют на отдельные части с учетом продуктивности, физиологического состояния и от каждой из этих частей отбирают по 10-15 % животных в </w:t>
      </w:r>
      <w:proofErr w:type="spellStart"/>
      <w:r w:rsidRPr="00780995">
        <w:rPr>
          <w:rFonts w:ascii="Times New Roman" w:hAnsi="Times New Roman"/>
          <w:sz w:val="24"/>
        </w:rPr>
        <w:t>министадо</w:t>
      </w:r>
      <w:proofErr w:type="spellEnd"/>
      <w:r w:rsidRPr="00780995">
        <w:rPr>
          <w:rFonts w:ascii="Times New Roman" w:hAnsi="Times New Roman"/>
          <w:sz w:val="24"/>
        </w:rPr>
        <w:t xml:space="preserve"> (таблица 3). Сформированное </w:t>
      </w:r>
      <w:proofErr w:type="spellStart"/>
      <w:r w:rsidRPr="00780995">
        <w:rPr>
          <w:rFonts w:ascii="Times New Roman" w:hAnsi="Times New Roman"/>
          <w:sz w:val="24"/>
        </w:rPr>
        <w:t>министадо</w:t>
      </w:r>
      <w:proofErr w:type="spellEnd"/>
      <w:r w:rsidRPr="00780995">
        <w:rPr>
          <w:rFonts w:ascii="Times New Roman" w:hAnsi="Times New Roman"/>
          <w:sz w:val="24"/>
        </w:rPr>
        <w:t xml:space="preserve"> (40 голов) является опытной группой, которая будет получать изучаемый фактор. Контролем </w:t>
      </w:r>
      <w:proofErr w:type="spellStart"/>
      <w:r w:rsidRPr="00780995">
        <w:rPr>
          <w:rFonts w:ascii="Times New Roman" w:hAnsi="Times New Roman"/>
          <w:sz w:val="24"/>
        </w:rPr>
        <w:t>будетслужить</w:t>
      </w:r>
      <w:proofErr w:type="spellEnd"/>
      <w:r w:rsidRPr="00780995">
        <w:rPr>
          <w:rFonts w:ascii="Times New Roman" w:hAnsi="Times New Roman"/>
          <w:sz w:val="24"/>
        </w:rPr>
        <w:t xml:space="preserve"> общее стадо фермы (360 голов) Если потребуется изучить два фактора, надо сформировать два мини-стада (табл. 2). </w:t>
      </w:r>
    </w:p>
    <w:p w:rsidR="00217649" w:rsidRDefault="00176FDE" w:rsidP="00217649">
      <w:pPr>
        <w:spacing w:after="0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6075623" cy="1673525"/>
            <wp:effectExtent l="19050" t="0" r="132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23" cy="167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649" w:rsidRDefault="00217649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Мини-стадо не может быть однородным, так как его состав определяется структурой стада в целом. Метод мини-стада успешно применяют для проведения длительных опытов по кормлению, содержанию животных, по изучению различных технологий в животноводстве, можно его использовать и для изучения генетических факторов продуктивности (порода, линия и др.).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Метод интегральных групп. Слово </w:t>
      </w:r>
      <w:proofErr w:type="gramStart"/>
      <w:r w:rsidRPr="00780995">
        <w:rPr>
          <w:rFonts w:ascii="Times New Roman" w:hAnsi="Times New Roman"/>
          <w:sz w:val="24"/>
        </w:rPr>
        <w:t>интегральный</w:t>
      </w:r>
      <w:proofErr w:type="gramEnd"/>
      <w:r w:rsidRPr="00780995">
        <w:rPr>
          <w:rFonts w:ascii="Times New Roman" w:hAnsi="Times New Roman"/>
          <w:sz w:val="24"/>
        </w:rPr>
        <w:t xml:space="preserve"> в переводе с латинского означает неразрывно связанный, цельный, единый.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Этот метод позволяет получить информацию о влиянии нескольких факторов в одном эксперименте.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Сущность данного метода в том, что он позволяет изучить действие на животный организм каждого фактора в отдельности, а также их совместное (единое) действие в различных сочетаниях. В исследовательской работе применяется две разновидности этого метода: </w:t>
      </w:r>
      <w:proofErr w:type="gramStart"/>
      <w:r w:rsidRPr="00780995">
        <w:rPr>
          <w:rFonts w:ascii="Times New Roman" w:hAnsi="Times New Roman"/>
          <w:sz w:val="24"/>
        </w:rPr>
        <w:t>двухфакторный</w:t>
      </w:r>
      <w:proofErr w:type="gramEnd"/>
      <w:r w:rsidRPr="00780995">
        <w:rPr>
          <w:rFonts w:ascii="Times New Roman" w:hAnsi="Times New Roman"/>
          <w:sz w:val="24"/>
        </w:rPr>
        <w:t xml:space="preserve"> и многофакторный. 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Метод двухфакторного комплекса. Этим методом изучают влияние двух факторов одновременно при разном их уровне. Для этого отбирают необходимое количество групп животных, в каждой из которых изучают влияние разных уровней двух факторов.</w:t>
      </w:r>
    </w:p>
    <w:p w:rsidR="00217649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Например, для изучения этим методом влияния добавок солей двух микроэлементов: меди и кобальта (двух факторов) в </w:t>
      </w:r>
      <w:proofErr w:type="spellStart"/>
      <w:r w:rsidRPr="00780995">
        <w:rPr>
          <w:rFonts w:ascii="Times New Roman" w:hAnsi="Times New Roman"/>
          <w:sz w:val="24"/>
        </w:rPr>
        <w:t>рационахпоросят-отъемышей</w:t>
      </w:r>
      <w:proofErr w:type="spellEnd"/>
      <w:r w:rsidRPr="00780995">
        <w:rPr>
          <w:rFonts w:ascii="Times New Roman" w:hAnsi="Times New Roman"/>
          <w:sz w:val="24"/>
        </w:rPr>
        <w:t xml:space="preserve"> потребуется 4 подопытных групп (табл. 3). Отбор животных в группы осуществляют так же, как и в методе </w:t>
      </w:r>
      <w:proofErr w:type="spellStart"/>
      <w:r w:rsidRPr="00780995">
        <w:rPr>
          <w:rFonts w:ascii="Times New Roman" w:hAnsi="Times New Roman"/>
          <w:sz w:val="24"/>
        </w:rPr>
        <w:t>группаналогов</w:t>
      </w:r>
      <w:proofErr w:type="spellEnd"/>
      <w:r w:rsidRPr="00780995">
        <w:rPr>
          <w:rFonts w:ascii="Times New Roman" w:hAnsi="Times New Roman"/>
          <w:sz w:val="24"/>
        </w:rPr>
        <w:t xml:space="preserve">. </w:t>
      </w:r>
    </w:p>
    <w:p w:rsidR="00217649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noProof/>
          <w:sz w:val="24"/>
        </w:rPr>
        <w:drawing>
          <wp:inline distT="0" distB="0" distL="0" distR="0">
            <wp:extent cx="5430919" cy="133709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616" cy="134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649" w:rsidRDefault="00217649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Вторая и третья опытные группы получают по одному из изучаемых микроэлементов в отдельности, четвертая группа – оба микроэлемента. Результаты опыта оценивают по разности в показателях между каждой из опытных групп и контрольной, а </w:t>
      </w:r>
      <w:proofErr w:type="spellStart"/>
      <w:r w:rsidRPr="00780995">
        <w:rPr>
          <w:rFonts w:ascii="Times New Roman" w:hAnsi="Times New Roman"/>
          <w:sz w:val="24"/>
        </w:rPr>
        <w:t>такжемежду</w:t>
      </w:r>
      <w:proofErr w:type="spellEnd"/>
      <w:r w:rsidRPr="00780995">
        <w:rPr>
          <w:rFonts w:ascii="Times New Roman" w:hAnsi="Times New Roman"/>
          <w:sz w:val="24"/>
        </w:rPr>
        <w:t xml:space="preserve"> опытными группами.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Метод многофакторного комплекса. Применяют когда необходимо изучить одновременное влияние многих факторов (более двух) при различных их сочетаниях. Метод имеет такую же схему, что и приведенный выше, но включает в себя большее </w:t>
      </w:r>
      <w:r w:rsidRPr="00780995">
        <w:rPr>
          <w:rFonts w:ascii="Times New Roman" w:hAnsi="Times New Roman"/>
          <w:sz w:val="24"/>
        </w:rPr>
        <w:lastRenderedPageBreak/>
        <w:t xml:space="preserve">число групп и, следовательно, является более громоздким, что затрудняет работу исследователя. </w:t>
      </w:r>
    </w:p>
    <w:p w:rsidR="00217649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Например, при изучении действия трех микроэлементов меди, кобальта, йода (трех факторов) уже потребуется 8 подопытных групп (табл. 4) </w:t>
      </w:r>
    </w:p>
    <w:p w:rsidR="00217649" w:rsidRDefault="00176FDE" w:rsidP="0045456A">
      <w:pPr>
        <w:spacing w:after="0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noProof/>
          <w:sz w:val="24"/>
        </w:rPr>
        <w:drawing>
          <wp:inline distT="0" distB="0" distL="0" distR="0">
            <wp:extent cx="5890928" cy="218248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978" cy="218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649" w:rsidRDefault="00217649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Опыт дает возможность определить действие каждого фактора в отдельности, выделить оптимальные сочетания их совместного действия, установить также угнетение одного фактора другим. Такой многосторонний анализ опыта отражает множественные зависимости, которые наблюдаются в природе. Метод интегральных групп удобен и для изучения влияния разных уровней: высокого</w:t>
      </w:r>
      <w:proofErr w:type="gramStart"/>
      <w:r w:rsidRPr="00780995">
        <w:rPr>
          <w:rFonts w:ascii="Times New Roman" w:hAnsi="Times New Roman"/>
          <w:sz w:val="24"/>
        </w:rPr>
        <w:t xml:space="preserve"> (+) </w:t>
      </w:r>
      <w:proofErr w:type="gramEnd"/>
      <w:r w:rsidRPr="00780995">
        <w:rPr>
          <w:rFonts w:ascii="Times New Roman" w:hAnsi="Times New Roman"/>
          <w:sz w:val="24"/>
        </w:rPr>
        <w:t>и низкого (-) разных элементов питания, например, протеина и жира (</w:t>
      </w:r>
      <w:proofErr w:type="spellStart"/>
      <w:r w:rsidRPr="00780995">
        <w:rPr>
          <w:rFonts w:ascii="Times New Roman" w:hAnsi="Times New Roman"/>
          <w:sz w:val="24"/>
        </w:rPr>
        <w:t>двухфакториальный</w:t>
      </w:r>
      <w:proofErr w:type="spellEnd"/>
      <w:r w:rsidRPr="00780995">
        <w:rPr>
          <w:rFonts w:ascii="Times New Roman" w:hAnsi="Times New Roman"/>
          <w:sz w:val="24"/>
        </w:rPr>
        <w:t xml:space="preserve"> комплекс), протеина, жира и углеводов (</w:t>
      </w:r>
      <w:proofErr w:type="spellStart"/>
      <w:r w:rsidRPr="00780995">
        <w:rPr>
          <w:rFonts w:ascii="Times New Roman" w:hAnsi="Times New Roman"/>
          <w:sz w:val="24"/>
        </w:rPr>
        <w:t>трехфакториальный</w:t>
      </w:r>
      <w:proofErr w:type="spellEnd"/>
      <w:r w:rsidRPr="00780995">
        <w:rPr>
          <w:rFonts w:ascii="Times New Roman" w:hAnsi="Times New Roman"/>
          <w:sz w:val="24"/>
        </w:rPr>
        <w:t xml:space="preserve"> комплекс).</w:t>
      </w:r>
    </w:p>
    <w:p w:rsidR="00176FDE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 xml:space="preserve">Достоинство метода в том, что он дает возможность получить </w:t>
      </w:r>
    </w:p>
    <w:p w:rsidR="00C85D07" w:rsidRPr="00780995" w:rsidRDefault="00176FDE" w:rsidP="0078099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0995">
        <w:rPr>
          <w:rFonts w:ascii="Times New Roman" w:hAnsi="Times New Roman"/>
          <w:sz w:val="24"/>
        </w:rPr>
        <w:t>большой объем научной информации, а недостаток – в громоздкости опытов: требуется большое число подопытных групп, комплектование которых представляет значительные трудности, возрастают затраты на экспериментальные исследования</w:t>
      </w:r>
    </w:p>
    <w:sectPr w:rsidR="00C85D07" w:rsidRPr="0078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76FDE"/>
    <w:rsid w:val="00176FDE"/>
    <w:rsid w:val="00217649"/>
    <w:rsid w:val="0045456A"/>
    <w:rsid w:val="005C6F1C"/>
    <w:rsid w:val="00780995"/>
    <w:rsid w:val="00C8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1739</Words>
  <Characters>9915</Characters>
  <Application>Microsoft Office Word</Application>
  <DocSecurity>0</DocSecurity>
  <Lines>82</Lines>
  <Paragraphs>23</Paragraphs>
  <ScaleCrop>false</ScaleCrop>
  <Company>MultiDVD Team</Company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7</cp:revision>
  <dcterms:created xsi:type="dcterms:W3CDTF">2025-11-04T19:23:00Z</dcterms:created>
  <dcterms:modified xsi:type="dcterms:W3CDTF">2025-11-04T19:41:00Z</dcterms:modified>
</cp:coreProperties>
</file>