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51" w:rsidRPr="00934C51" w:rsidRDefault="00934C51" w:rsidP="00934C51">
      <w:pPr>
        <w:spacing w:after="0" w:line="615" w:lineRule="atLeast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pacing w:val="-7"/>
          <w:sz w:val="48"/>
          <w:szCs w:val="48"/>
          <w:lang w:eastAsia="ru-RU"/>
        </w:rPr>
      </w:pPr>
      <w:r w:rsidRPr="00934C51">
        <w:rPr>
          <w:rFonts w:ascii="inherit" w:eastAsia="Times New Roman" w:hAnsi="inherit" w:cs="Times New Roman"/>
          <w:b/>
          <w:bCs/>
          <w:color w:val="000000"/>
          <w:spacing w:val="-7"/>
          <w:sz w:val="48"/>
          <w:szCs w:val="48"/>
          <w:lang w:eastAsia="ru-RU"/>
        </w:rPr>
        <w:t>В каких документах бухгалтеры указывают КБК</w:t>
      </w:r>
    </w:p>
    <w:p w:rsidR="00934C51" w:rsidRPr="00934C51" w:rsidRDefault="00934C51" w:rsidP="00934C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 таблице ниже расписаны </w:t>
      </w:r>
      <w:r w:rsidRPr="00934C5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при </w:t>
      </w:r>
      <w:proofErr w:type="gramStart"/>
      <w:r w:rsidRPr="00934C5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заполнении</w:t>
      </w:r>
      <w:proofErr w:type="gramEnd"/>
      <w:r w:rsidRPr="00934C5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каких документов нужны коды бюджетной классификации. И какие это должны быть шифры.</w:t>
      </w:r>
    </w:p>
    <w:tbl>
      <w:tblPr>
        <w:tblW w:w="12690" w:type="dxa"/>
        <w:tblBorders>
          <w:top w:val="single" w:sz="6" w:space="0" w:color="E4E4E4"/>
          <w:left w:val="single" w:sz="6" w:space="0" w:color="E4E4E4"/>
          <w:bottom w:val="single" w:sz="6" w:space="0" w:color="E4E4E4"/>
          <w:right w:val="single" w:sz="6" w:space="0" w:color="E4E4E4"/>
        </w:tblBorders>
        <w:tblCellMar>
          <w:left w:w="0" w:type="dxa"/>
          <w:right w:w="0" w:type="dxa"/>
        </w:tblCellMar>
        <w:tblLook w:val="04A0"/>
      </w:tblPr>
      <w:tblGrid>
        <w:gridCol w:w="2694"/>
        <w:gridCol w:w="9996"/>
      </w:tblGrid>
      <w:tr w:rsidR="00934C51" w:rsidRPr="00934C51" w:rsidTr="00934C51">
        <w:trPr>
          <w:tblHeader/>
        </w:trPr>
        <w:tc>
          <w:tcPr>
            <w:tcW w:w="31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934C51" w:rsidRPr="00934C51" w:rsidRDefault="00934C51" w:rsidP="00934C51">
            <w:pPr>
              <w:spacing w:after="0" w:line="360" w:lineRule="atLeast"/>
              <w:jc w:val="center"/>
              <w:rPr>
                <w:rFonts w:ascii="inherit" w:eastAsia="Times New Roman" w:hAnsi="inherit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506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934C51" w:rsidRPr="00934C51" w:rsidRDefault="00934C51" w:rsidP="00934C51">
            <w:pPr>
              <w:spacing w:after="0" w:line="360" w:lineRule="atLeast"/>
              <w:jc w:val="center"/>
              <w:rPr>
                <w:rFonts w:ascii="inherit" w:eastAsia="Times New Roman" w:hAnsi="inherit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4"/>
                <w:szCs w:val="24"/>
                <w:lang w:eastAsia="ru-RU"/>
              </w:rPr>
              <w:t>Что указывать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proofErr w:type="gram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Единый</w:t>
            </w:r>
            <w:proofErr w:type="gram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 xml:space="preserve"> общий КБК — при перечислении большинства налогов. Это КБК ЕНС в 2025 году: 182 0 10 61201 01 0000 510.</w:t>
            </w:r>
          </w:p>
          <w:p w:rsidR="00934C51" w:rsidRPr="00934C51" w:rsidRDefault="00934C51" w:rsidP="00934C51">
            <w:pPr>
              <w:spacing w:after="0" w:line="285" w:lineRule="atLeast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 xml:space="preserve">Взносы на травматизм в СФР и административные штрафы перечисляются </w:t>
            </w:r>
            <w:proofErr w:type="gram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на</w:t>
            </w:r>
            <w:proofErr w:type="gram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свои КБК. Смотрите актуальные шифры в таблице в конце статьи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Отчетность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КБК конкретного налога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Уведомление по ЕНП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КБК конкретного налога</w:t>
            </w:r>
          </w:p>
        </w:tc>
      </w:tr>
    </w:tbl>
    <w:p w:rsidR="00934C51" w:rsidRPr="00934C51" w:rsidRDefault="00934C51" w:rsidP="00934C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34C5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Выбор кодов КБК — легко решаемая задача, если отчетность, уведомления и платежи оформляете в бухгалтерской программе </w:t>
      </w:r>
      <w:proofErr w:type="spellStart"/>
      <w:r w:rsidRPr="00934C5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Saby</w:t>
      </w:r>
      <w:proofErr w:type="spellEnd"/>
      <w:r w:rsidRPr="00934C5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 В программе всегда актуальные реквизиты платежей и отчетных форм. Заполнять КБК вручную не надо, просто выберите нужный налог при перечислении денег в бюджет. А в отчетности и уведомлениях по ЕНП КБК проставляются автоматически по данным учета.</w:t>
      </w:r>
    </w:p>
    <w:p w:rsidR="00934C51" w:rsidRDefault="00934C51" w:rsidP="00934C51">
      <w:pPr>
        <w:spacing w:after="0" w:line="615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pacing w:val="-5"/>
          <w:sz w:val="39"/>
          <w:szCs w:val="39"/>
          <w:lang w:eastAsia="ru-RU"/>
        </w:rPr>
      </w:pPr>
    </w:p>
    <w:p w:rsidR="00934C51" w:rsidRDefault="00934C51" w:rsidP="00934C51">
      <w:pPr>
        <w:spacing w:after="0" w:line="615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pacing w:val="-5"/>
          <w:sz w:val="39"/>
          <w:szCs w:val="39"/>
          <w:lang w:eastAsia="ru-RU"/>
        </w:rPr>
      </w:pPr>
    </w:p>
    <w:p w:rsidR="00934C51" w:rsidRDefault="00934C51" w:rsidP="00934C51">
      <w:pPr>
        <w:spacing w:after="0" w:line="615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pacing w:val="-5"/>
          <w:sz w:val="39"/>
          <w:szCs w:val="39"/>
          <w:lang w:eastAsia="ru-RU"/>
        </w:rPr>
      </w:pPr>
    </w:p>
    <w:p w:rsidR="00934C51" w:rsidRDefault="00934C51" w:rsidP="00934C51">
      <w:pPr>
        <w:spacing w:after="0" w:line="615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pacing w:val="-5"/>
          <w:sz w:val="39"/>
          <w:szCs w:val="39"/>
          <w:lang w:eastAsia="ru-RU"/>
        </w:rPr>
      </w:pPr>
    </w:p>
    <w:p w:rsidR="00934C51" w:rsidRDefault="00934C51" w:rsidP="00934C51">
      <w:pPr>
        <w:spacing w:after="0" w:line="615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pacing w:val="-5"/>
          <w:sz w:val="39"/>
          <w:szCs w:val="39"/>
          <w:lang w:eastAsia="ru-RU"/>
        </w:rPr>
      </w:pPr>
    </w:p>
    <w:p w:rsidR="00934C51" w:rsidRDefault="00934C51" w:rsidP="00934C51">
      <w:pPr>
        <w:spacing w:after="0" w:line="615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pacing w:val="-5"/>
          <w:sz w:val="39"/>
          <w:szCs w:val="39"/>
          <w:lang w:eastAsia="ru-RU"/>
        </w:rPr>
      </w:pPr>
    </w:p>
    <w:p w:rsidR="00934C51" w:rsidRPr="00934C51" w:rsidRDefault="00934C51" w:rsidP="00934C51">
      <w:pPr>
        <w:spacing w:after="0" w:line="615" w:lineRule="atLeast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pacing w:val="-7"/>
          <w:sz w:val="48"/>
          <w:szCs w:val="48"/>
          <w:lang w:eastAsia="ru-RU"/>
        </w:rPr>
      </w:pPr>
      <w:r w:rsidRPr="00934C51">
        <w:rPr>
          <w:rFonts w:ascii="inherit" w:eastAsia="Times New Roman" w:hAnsi="inherit" w:cs="Times New Roman"/>
          <w:b/>
          <w:bCs/>
          <w:color w:val="000000"/>
          <w:spacing w:val="-7"/>
          <w:sz w:val="48"/>
          <w:szCs w:val="48"/>
          <w:lang w:eastAsia="ru-RU"/>
        </w:rPr>
        <w:lastRenderedPageBreak/>
        <w:t xml:space="preserve">Таблица </w:t>
      </w:r>
      <w:proofErr w:type="gramStart"/>
      <w:r w:rsidRPr="00934C51">
        <w:rPr>
          <w:rFonts w:ascii="inherit" w:eastAsia="Times New Roman" w:hAnsi="inherit" w:cs="Times New Roman"/>
          <w:b/>
          <w:bCs/>
          <w:color w:val="000000"/>
          <w:spacing w:val="-7"/>
          <w:sz w:val="48"/>
          <w:szCs w:val="48"/>
          <w:lang w:eastAsia="ru-RU"/>
        </w:rPr>
        <w:t>популярных</w:t>
      </w:r>
      <w:proofErr w:type="gramEnd"/>
      <w:r w:rsidRPr="00934C51">
        <w:rPr>
          <w:rFonts w:ascii="inherit" w:eastAsia="Times New Roman" w:hAnsi="inherit" w:cs="Times New Roman"/>
          <w:b/>
          <w:bCs/>
          <w:color w:val="000000"/>
          <w:spacing w:val="-7"/>
          <w:sz w:val="48"/>
          <w:szCs w:val="48"/>
          <w:lang w:eastAsia="ru-RU"/>
        </w:rPr>
        <w:t xml:space="preserve"> КБК на 2025 год</w:t>
      </w:r>
    </w:p>
    <w:p w:rsidR="00934C51" w:rsidRPr="00934C51" w:rsidRDefault="00934C51" w:rsidP="00934C51">
      <w:pPr>
        <w:spacing w:after="0" w:line="480" w:lineRule="atLeast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pacing w:val="-5"/>
          <w:sz w:val="36"/>
          <w:szCs w:val="36"/>
          <w:lang w:eastAsia="ru-RU"/>
        </w:rPr>
      </w:pPr>
      <w:r w:rsidRPr="00934C51">
        <w:rPr>
          <w:rFonts w:ascii="inherit" w:eastAsia="Times New Roman" w:hAnsi="inherit" w:cs="Times New Roman"/>
          <w:b/>
          <w:bCs/>
          <w:color w:val="000000"/>
          <w:spacing w:val="-5"/>
          <w:sz w:val="36"/>
          <w:szCs w:val="36"/>
          <w:lang w:eastAsia="ru-RU"/>
        </w:rPr>
        <w:t>КБК для платежек</w:t>
      </w:r>
    </w:p>
    <w:tbl>
      <w:tblPr>
        <w:tblW w:w="12690" w:type="dxa"/>
        <w:tblBorders>
          <w:top w:val="single" w:sz="6" w:space="0" w:color="E4E4E4"/>
          <w:left w:val="single" w:sz="6" w:space="0" w:color="E4E4E4"/>
          <w:bottom w:val="single" w:sz="6" w:space="0" w:color="E4E4E4"/>
          <w:right w:val="single" w:sz="6" w:space="0" w:color="E4E4E4"/>
        </w:tblBorders>
        <w:tblCellMar>
          <w:left w:w="0" w:type="dxa"/>
          <w:right w:w="0" w:type="dxa"/>
        </w:tblCellMar>
        <w:tblLook w:val="04A0"/>
      </w:tblPr>
      <w:tblGrid>
        <w:gridCol w:w="6472"/>
        <w:gridCol w:w="6218"/>
      </w:tblGrid>
      <w:tr w:rsidR="00934C51" w:rsidRPr="00934C51" w:rsidTr="00934C51">
        <w:trPr>
          <w:tblHeader/>
        </w:trPr>
        <w:tc>
          <w:tcPr>
            <w:tcW w:w="528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934C51" w:rsidRPr="00934C51" w:rsidRDefault="00934C51" w:rsidP="00934C51">
            <w:pPr>
              <w:spacing w:after="0" w:line="360" w:lineRule="atLeast"/>
              <w:jc w:val="center"/>
              <w:rPr>
                <w:rFonts w:ascii="inherit" w:eastAsia="Times New Roman" w:hAnsi="inherit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Вид платежа</w:t>
            </w:r>
          </w:p>
        </w:tc>
        <w:tc>
          <w:tcPr>
            <w:tcW w:w="739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934C51" w:rsidRPr="00934C51" w:rsidRDefault="00934C51" w:rsidP="00934C51">
            <w:pPr>
              <w:spacing w:after="0" w:line="360" w:lineRule="atLeast"/>
              <w:jc w:val="center"/>
              <w:rPr>
                <w:rFonts w:ascii="inherit" w:eastAsia="Times New Roman" w:hAnsi="inherit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КБК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Единый налоговый платеж (ЕНП)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182 0 10 61201 01 0000 510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Взносы на травматизм в СФР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797 1 02 12000 06 1000 160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Административные штрафы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numPr>
                <w:ilvl w:val="0"/>
                <w:numId w:val="1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 xml:space="preserve">182 1 16 01151 01 0005 140 — за непредставление налоговой декларации или РСВ (ст. 15.5 </w:t>
            </w:r>
            <w:proofErr w:type="spell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КоАП</w:t>
            </w:r>
            <w:proofErr w:type="spell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РФ);</w:t>
            </w:r>
          </w:p>
          <w:p w:rsidR="00934C51" w:rsidRPr="00934C51" w:rsidRDefault="00934C51" w:rsidP="00934C51">
            <w:pPr>
              <w:numPr>
                <w:ilvl w:val="0"/>
                <w:numId w:val="1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 xml:space="preserve">182 1 16 01151 01 0003 140 — нарушение срока постановки на учет в ФНС (ст. 15.3 </w:t>
            </w:r>
            <w:proofErr w:type="spell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КоАП</w:t>
            </w:r>
            <w:proofErr w:type="spell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РФ);</w:t>
            </w:r>
          </w:p>
          <w:p w:rsidR="00934C51" w:rsidRPr="00934C51" w:rsidRDefault="00934C51" w:rsidP="00934C51">
            <w:pPr>
              <w:numPr>
                <w:ilvl w:val="0"/>
                <w:numId w:val="1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 xml:space="preserve">182 1 16 01141 01 0005 140 — неприменение ККТ (ст. 14.5 </w:t>
            </w:r>
            <w:proofErr w:type="spell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КоАП</w:t>
            </w:r>
            <w:proofErr w:type="spell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РФ)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Фиксированный авансовый платеж по НДФЛ за </w:t>
            </w:r>
            <w:proofErr w:type="spell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иностранцев</w:t>
            </w: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noBreakHyphen/>
              <w:t>нерезидентов</w:t>
            </w:r>
            <w:proofErr w:type="spell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, которые трудятся на основании патентов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182 1 01 02040 01 1000 110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НДС при импорте товаров не из стран ЕАЭС — уплата на таможне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153 1 04 01000 01 1000 110</w:t>
            </w:r>
          </w:p>
        </w:tc>
      </w:tr>
    </w:tbl>
    <w:p w:rsidR="00934C51" w:rsidRDefault="00934C51" w:rsidP="00934C51">
      <w:pPr>
        <w:spacing w:after="0" w:line="480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pacing w:val="-5"/>
          <w:sz w:val="36"/>
          <w:szCs w:val="36"/>
          <w:lang w:eastAsia="ru-RU"/>
        </w:rPr>
      </w:pPr>
    </w:p>
    <w:p w:rsidR="00934C51" w:rsidRDefault="00934C51" w:rsidP="00934C51">
      <w:pPr>
        <w:spacing w:after="0" w:line="480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pacing w:val="-5"/>
          <w:sz w:val="36"/>
          <w:szCs w:val="36"/>
          <w:lang w:eastAsia="ru-RU"/>
        </w:rPr>
      </w:pPr>
    </w:p>
    <w:p w:rsidR="00934C51" w:rsidRDefault="00934C51" w:rsidP="00934C51">
      <w:pPr>
        <w:spacing w:after="0" w:line="480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pacing w:val="-5"/>
          <w:sz w:val="36"/>
          <w:szCs w:val="36"/>
          <w:lang w:eastAsia="ru-RU"/>
        </w:rPr>
      </w:pPr>
    </w:p>
    <w:p w:rsidR="00934C51" w:rsidRDefault="00934C51" w:rsidP="00934C51">
      <w:pPr>
        <w:spacing w:after="0" w:line="480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pacing w:val="-5"/>
          <w:sz w:val="36"/>
          <w:szCs w:val="36"/>
          <w:lang w:eastAsia="ru-RU"/>
        </w:rPr>
      </w:pPr>
    </w:p>
    <w:p w:rsidR="00934C51" w:rsidRPr="00934C51" w:rsidRDefault="00934C51" w:rsidP="00934C51">
      <w:pPr>
        <w:spacing w:after="0" w:line="480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pacing w:val="-5"/>
          <w:sz w:val="36"/>
          <w:szCs w:val="36"/>
          <w:lang w:eastAsia="ru-RU"/>
        </w:rPr>
      </w:pPr>
      <w:r w:rsidRPr="00934C51">
        <w:rPr>
          <w:rFonts w:ascii="inherit" w:eastAsia="Times New Roman" w:hAnsi="inherit" w:cs="Times New Roman"/>
          <w:b/>
          <w:bCs/>
          <w:color w:val="000000"/>
          <w:spacing w:val="-5"/>
          <w:sz w:val="36"/>
          <w:szCs w:val="36"/>
          <w:lang w:eastAsia="ru-RU"/>
        </w:rPr>
        <w:lastRenderedPageBreak/>
        <w:t>КБК для уведомлений по ЕНП и отчетности</w:t>
      </w:r>
    </w:p>
    <w:tbl>
      <w:tblPr>
        <w:tblW w:w="12690" w:type="dxa"/>
        <w:tblBorders>
          <w:top w:val="single" w:sz="6" w:space="0" w:color="E4E4E4"/>
          <w:left w:val="single" w:sz="6" w:space="0" w:color="E4E4E4"/>
          <w:bottom w:val="single" w:sz="6" w:space="0" w:color="E4E4E4"/>
          <w:right w:val="single" w:sz="6" w:space="0" w:color="E4E4E4"/>
        </w:tblBorders>
        <w:tblCellMar>
          <w:left w:w="0" w:type="dxa"/>
          <w:right w:w="0" w:type="dxa"/>
        </w:tblCellMar>
        <w:tblLook w:val="04A0"/>
      </w:tblPr>
      <w:tblGrid>
        <w:gridCol w:w="5087"/>
        <w:gridCol w:w="7603"/>
      </w:tblGrid>
      <w:tr w:rsidR="00934C51" w:rsidRPr="00934C51" w:rsidTr="00934C51">
        <w:trPr>
          <w:tblHeader/>
        </w:trPr>
        <w:tc>
          <w:tcPr>
            <w:tcW w:w="528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934C51" w:rsidRPr="00934C51" w:rsidRDefault="00934C51" w:rsidP="00934C51">
            <w:pPr>
              <w:spacing w:after="0" w:line="360" w:lineRule="atLeast"/>
              <w:jc w:val="center"/>
              <w:rPr>
                <w:rFonts w:ascii="inherit" w:eastAsia="Times New Roman" w:hAnsi="inherit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Вид платежа</w:t>
            </w:r>
          </w:p>
        </w:tc>
        <w:tc>
          <w:tcPr>
            <w:tcW w:w="739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934C51" w:rsidRPr="00934C51" w:rsidRDefault="00934C51" w:rsidP="00934C51">
            <w:pPr>
              <w:spacing w:after="0" w:line="360" w:lineRule="atLeast"/>
              <w:jc w:val="center"/>
              <w:rPr>
                <w:rFonts w:ascii="inherit" w:eastAsia="Times New Roman" w:hAnsi="inherit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КБК</w:t>
            </w:r>
          </w:p>
        </w:tc>
      </w:tr>
      <w:tr w:rsidR="00934C51" w:rsidRPr="00934C51" w:rsidTr="00934C51">
        <w:tc>
          <w:tcPr>
            <w:tcW w:w="0" w:type="auto"/>
            <w:gridSpan w:val="2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360" w:lineRule="atLeast"/>
              <w:rPr>
                <w:rFonts w:ascii="inherit" w:eastAsia="Times New Roman" w:hAnsi="inherit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proofErr w:type="spellStart"/>
            <w:r w:rsidRPr="00934C51">
              <w:rPr>
                <w:rFonts w:ascii="inherit" w:eastAsia="Times New Roman" w:hAnsi="inherit" w:cs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Спецрежимы</w:t>
            </w:r>
            <w:proofErr w:type="spellEnd"/>
            <w:r w:rsidRPr="00934C51">
              <w:rPr>
                <w:rFonts w:ascii="inherit" w:eastAsia="Times New Roman" w:hAnsi="inherit" w:cs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 xml:space="preserve"> и НДФЛ для ИП на ОСНО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УСН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numPr>
                <w:ilvl w:val="0"/>
                <w:numId w:val="2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05 01011 01 1000 110 — УСН «Доходы»;</w:t>
            </w:r>
          </w:p>
          <w:p w:rsidR="00934C51" w:rsidRPr="00934C51" w:rsidRDefault="00934C51" w:rsidP="00934C51">
            <w:pPr>
              <w:numPr>
                <w:ilvl w:val="0"/>
                <w:numId w:val="2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05 01021 01 1000 110 — УСН «Доходы минус расходы»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АУСН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182 1 0  07000 01 1000 110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ЕСХН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182 1 05 03010 01 1000 110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ПСН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Зависит от муниципального образования:</w:t>
            </w:r>
          </w:p>
          <w:p w:rsidR="00934C51" w:rsidRPr="00934C51" w:rsidRDefault="00934C51" w:rsidP="00934C51">
            <w:pPr>
              <w:numPr>
                <w:ilvl w:val="0"/>
                <w:numId w:val="3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 xml:space="preserve">182 1 05 04030 02 1000 110 — Москва, </w:t>
            </w:r>
            <w:proofErr w:type="spell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Санкт</w:t>
            </w: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noBreakHyphen/>
              <w:t>Петербург</w:t>
            </w:r>
            <w:proofErr w:type="spell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 xml:space="preserve"> и Севастополь;</w:t>
            </w:r>
          </w:p>
          <w:p w:rsidR="00934C51" w:rsidRPr="00934C51" w:rsidRDefault="00934C51" w:rsidP="00934C51">
            <w:pPr>
              <w:numPr>
                <w:ilvl w:val="0"/>
                <w:numId w:val="3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05 04010 02 1000 110 — городские округа;</w:t>
            </w:r>
          </w:p>
          <w:p w:rsidR="00934C51" w:rsidRPr="00934C51" w:rsidRDefault="00934C51" w:rsidP="00934C51">
            <w:pPr>
              <w:numPr>
                <w:ilvl w:val="0"/>
                <w:numId w:val="3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05 04040 02 1000 110 — городские округа с внутригородским делением;</w:t>
            </w:r>
          </w:p>
          <w:p w:rsidR="00934C51" w:rsidRPr="00934C51" w:rsidRDefault="00934C51" w:rsidP="00934C51">
            <w:pPr>
              <w:numPr>
                <w:ilvl w:val="0"/>
                <w:numId w:val="3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05 04050 02 1000 110 — внутригородские районы;</w:t>
            </w:r>
          </w:p>
          <w:p w:rsidR="00934C51" w:rsidRPr="00934C51" w:rsidRDefault="00934C51" w:rsidP="00934C51">
            <w:pPr>
              <w:numPr>
                <w:ilvl w:val="0"/>
                <w:numId w:val="3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05 04060 02 1000 110 — муниципальные округа;</w:t>
            </w:r>
          </w:p>
          <w:p w:rsidR="00934C51" w:rsidRPr="00934C51" w:rsidRDefault="00934C51" w:rsidP="00934C51">
            <w:pPr>
              <w:numPr>
                <w:ilvl w:val="0"/>
                <w:numId w:val="3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05 04020 02 1000 110 — муниципальные районы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НДФЛ с доходов ИП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numPr>
                <w:ilvl w:val="0"/>
                <w:numId w:val="4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 xml:space="preserve">182 1 01 02020 01 1000 110 — в пределах 2,4 </w:t>
            </w:r>
            <w:proofErr w:type="spellStart"/>
            <w:proofErr w:type="gram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proofErr w:type="gram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с начала года;</w:t>
            </w:r>
          </w:p>
          <w:p w:rsidR="00934C51" w:rsidRPr="00934C51" w:rsidRDefault="00934C51" w:rsidP="00934C51">
            <w:pPr>
              <w:numPr>
                <w:ilvl w:val="0"/>
                <w:numId w:val="4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02021 01 1000 110 — в пределах от 2,4 </w:t>
            </w:r>
            <w:proofErr w:type="spellStart"/>
            <w:proofErr w:type="gram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proofErr w:type="gram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до 5 </w:t>
            </w:r>
            <w:proofErr w:type="spell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с начала года;</w:t>
            </w:r>
          </w:p>
          <w:p w:rsidR="00934C51" w:rsidRPr="00934C51" w:rsidRDefault="00934C51" w:rsidP="00934C51">
            <w:pPr>
              <w:numPr>
                <w:ilvl w:val="0"/>
                <w:numId w:val="4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 xml:space="preserve">182 1 01 02022 01 1000 110 — в пределах от 5 </w:t>
            </w:r>
            <w:proofErr w:type="spellStart"/>
            <w:proofErr w:type="gram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proofErr w:type="gram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до 20 </w:t>
            </w:r>
            <w:proofErr w:type="spell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с начала года;</w:t>
            </w:r>
          </w:p>
          <w:p w:rsidR="00934C51" w:rsidRPr="00934C51" w:rsidRDefault="00934C51" w:rsidP="00934C51">
            <w:pPr>
              <w:numPr>
                <w:ilvl w:val="0"/>
                <w:numId w:val="4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02023 01 1000 110 — в пределах от 20 </w:t>
            </w:r>
            <w:proofErr w:type="spellStart"/>
            <w:proofErr w:type="gram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proofErr w:type="gram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до 50 </w:t>
            </w:r>
            <w:proofErr w:type="spell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с начала года;</w:t>
            </w:r>
          </w:p>
          <w:p w:rsidR="00934C51" w:rsidRPr="00934C51" w:rsidRDefault="00934C51" w:rsidP="00934C51">
            <w:pPr>
              <w:numPr>
                <w:ilvl w:val="0"/>
                <w:numId w:val="4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02024 01 1000 110 — свыше 50 </w:t>
            </w:r>
            <w:proofErr w:type="spellStart"/>
            <w:proofErr w:type="gram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proofErr w:type="gram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с начала года</w:t>
            </w:r>
          </w:p>
        </w:tc>
      </w:tr>
      <w:tr w:rsidR="00934C51" w:rsidRPr="00934C51" w:rsidTr="00934C51">
        <w:tc>
          <w:tcPr>
            <w:tcW w:w="0" w:type="auto"/>
            <w:gridSpan w:val="2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360" w:lineRule="atLeast"/>
              <w:rPr>
                <w:rFonts w:ascii="inherit" w:eastAsia="Times New Roman" w:hAnsi="inherit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 xml:space="preserve">НДФЛ с доходов </w:t>
            </w:r>
            <w:proofErr w:type="spellStart"/>
            <w:r w:rsidRPr="00934C51">
              <w:rPr>
                <w:rFonts w:ascii="inherit" w:eastAsia="Times New Roman" w:hAnsi="inherit" w:cs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физлиц</w:t>
            </w:r>
            <w:proofErr w:type="spellEnd"/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lastRenderedPageBreak/>
              <w:t>С доходов в пределах 2,4 </w:t>
            </w:r>
            <w:proofErr w:type="spellStart"/>
            <w:proofErr w:type="gram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proofErr w:type="gram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с начала года (исключение — дивиденды, районные коэффициенты и северные надбавки)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182 1 01 02010 01 1000 110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С доходов свыше от 2,4 </w:t>
            </w:r>
            <w:proofErr w:type="spellStart"/>
            <w:proofErr w:type="gram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proofErr w:type="gram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до 5 </w:t>
            </w:r>
            <w:proofErr w:type="spell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с начала года (исключение — дивиденды, районные коэффициенты и северные надбавки)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182 1 01 02080 01 1000 110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С доходов свыше от 5 </w:t>
            </w:r>
            <w:proofErr w:type="spellStart"/>
            <w:proofErr w:type="gram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proofErr w:type="gram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до 20 </w:t>
            </w:r>
            <w:proofErr w:type="spell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с начала года (исключение — дивиденды, районные коэффициенты и северные надбавки)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182 1 01 02150 01 1000 110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С доходов свыше от 20 </w:t>
            </w:r>
            <w:proofErr w:type="spellStart"/>
            <w:proofErr w:type="gram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proofErr w:type="gram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до 50 </w:t>
            </w:r>
            <w:proofErr w:type="spell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с начала года (исключение — дивиденды, районные коэффициенты и северные надбавки)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182 1 01 02160 01 1000 110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С доходов свыше 50 </w:t>
            </w:r>
            <w:proofErr w:type="spellStart"/>
            <w:proofErr w:type="gram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proofErr w:type="gram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с начала года (исключение — дивиденды, районные коэффициенты и северные надбавки)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182 1 01 02170 01 1000 110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С районных коэффициентов и северных надбавок резидентам в пределах 5 </w:t>
            </w:r>
            <w:proofErr w:type="spellStart"/>
            <w:proofErr w:type="gram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proofErr w:type="gram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с начала года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182 1 01 02210 01 1000 110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С районных коэффициентов и северных надбавок резидентам свыше 5 </w:t>
            </w:r>
            <w:proofErr w:type="spellStart"/>
            <w:proofErr w:type="gram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proofErr w:type="gram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с начала года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182 1 01 02230 01 1000 110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lastRenderedPageBreak/>
              <w:t xml:space="preserve">С дивидендов резидентам в пределах 2,4 </w:t>
            </w:r>
            <w:proofErr w:type="spellStart"/>
            <w:proofErr w:type="gram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proofErr w:type="gram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 с начала года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182 1 01 02130 01 1000 110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С дивидендов резидентам свыше 2,4 </w:t>
            </w:r>
            <w:proofErr w:type="spellStart"/>
            <w:proofErr w:type="gram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млн</w:t>
            </w:r>
            <w:proofErr w:type="spellEnd"/>
            <w:proofErr w:type="gram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 ₽ с начала года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182 1 01 02140 01 1000 110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С дивидендов нерезидентам независимо от суммы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182 1 01 02010 01 1000 110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Фиксированный авансовый платеж по НДФЛ за </w:t>
            </w:r>
            <w:proofErr w:type="spell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иностранцев</w:t>
            </w: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noBreakHyphen/>
              <w:t>нерезидентов</w:t>
            </w:r>
            <w:proofErr w:type="spell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, которые трудятся на основании патентов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182 1 01 02040 01 1000 110</w:t>
            </w:r>
          </w:p>
        </w:tc>
      </w:tr>
      <w:tr w:rsidR="00934C51" w:rsidRPr="00934C51" w:rsidTr="00934C51">
        <w:tc>
          <w:tcPr>
            <w:tcW w:w="0" w:type="auto"/>
            <w:gridSpan w:val="2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360" w:lineRule="atLeast"/>
              <w:rPr>
                <w:rFonts w:ascii="inherit" w:eastAsia="Times New Roman" w:hAnsi="inherit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Страховые взносы за работников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В ФНС по единому тарифу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182 1 02 01000 01 1000 160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В ФНС по иностранцам, которые, согласно международным договорам, застрахованы по отдельным видам страхования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numPr>
                <w:ilvl w:val="0"/>
                <w:numId w:val="5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02 15010 06 1000 160 — пенсионные взносы;</w:t>
            </w:r>
          </w:p>
          <w:p w:rsidR="00934C51" w:rsidRPr="00934C51" w:rsidRDefault="00934C51" w:rsidP="00934C51">
            <w:pPr>
              <w:numPr>
                <w:ilvl w:val="0"/>
                <w:numId w:val="5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02 15020 06 1000 160 — социальные взносы;</w:t>
            </w:r>
          </w:p>
          <w:p w:rsidR="00934C51" w:rsidRPr="00934C51" w:rsidRDefault="00934C51" w:rsidP="00934C51">
            <w:pPr>
              <w:numPr>
                <w:ilvl w:val="0"/>
                <w:numId w:val="5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02 15030 08 1000 160 — медицинские взносы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В СФР на травматизм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797 1 02 12000 06 1000 160</w:t>
            </w:r>
          </w:p>
        </w:tc>
      </w:tr>
      <w:tr w:rsidR="00934C51" w:rsidRPr="00934C51" w:rsidTr="00934C51">
        <w:tc>
          <w:tcPr>
            <w:tcW w:w="0" w:type="auto"/>
            <w:gridSpan w:val="2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360" w:lineRule="atLeast"/>
              <w:rPr>
                <w:rFonts w:ascii="inherit" w:eastAsia="Times New Roman" w:hAnsi="inherit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Имущественные налоги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Налог на имущество организаций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182 1 06 02010 02 1000 110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lastRenderedPageBreak/>
              <w:t>Транспортный налог организаций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182 1 06 04011 02 1000 110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Земельный налог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Зависит от муниципального образования:</w:t>
            </w:r>
          </w:p>
          <w:p w:rsidR="00934C51" w:rsidRPr="00934C51" w:rsidRDefault="00934C51" w:rsidP="00934C51">
            <w:pPr>
              <w:numPr>
                <w:ilvl w:val="0"/>
                <w:numId w:val="6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 xml:space="preserve">182 1 06 06031 03 1000 110 — Москва, </w:t>
            </w:r>
            <w:proofErr w:type="spellStart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Санкт</w:t>
            </w: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noBreakHyphen/>
              <w:t>Петербург</w:t>
            </w:r>
            <w:proofErr w:type="spellEnd"/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 xml:space="preserve"> и Севастополь;</w:t>
            </w:r>
          </w:p>
          <w:p w:rsidR="00934C51" w:rsidRPr="00934C51" w:rsidRDefault="00934C51" w:rsidP="00934C51">
            <w:pPr>
              <w:numPr>
                <w:ilvl w:val="0"/>
                <w:numId w:val="6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06 06032 04 1000 110 — городские округа;</w:t>
            </w:r>
          </w:p>
          <w:p w:rsidR="00934C51" w:rsidRPr="00934C51" w:rsidRDefault="00934C51" w:rsidP="00934C51">
            <w:pPr>
              <w:numPr>
                <w:ilvl w:val="0"/>
                <w:numId w:val="6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06 06032 11 1000 110 — городские округа с внутригородским делением;</w:t>
            </w:r>
          </w:p>
          <w:p w:rsidR="00934C51" w:rsidRPr="00934C51" w:rsidRDefault="00934C51" w:rsidP="00934C51">
            <w:pPr>
              <w:numPr>
                <w:ilvl w:val="0"/>
                <w:numId w:val="6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06 06032 12 1000 110 — внутригородские районы;</w:t>
            </w:r>
          </w:p>
          <w:p w:rsidR="00934C51" w:rsidRPr="00934C51" w:rsidRDefault="00934C51" w:rsidP="00934C51">
            <w:pPr>
              <w:numPr>
                <w:ilvl w:val="0"/>
                <w:numId w:val="6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06 06033 13 1000 110 — городские поселения;</w:t>
            </w:r>
          </w:p>
          <w:p w:rsidR="00934C51" w:rsidRPr="00934C51" w:rsidRDefault="00934C51" w:rsidP="00934C51">
            <w:pPr>
              <w:numPr>
                <w:ilvl w:val="0"/>
                <w:numId w:val="6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06 06032 14 1000 110 — муниципальные округа;</w:t>
            </w:r>
          </w:p>
          <w:p w:rsidR="00934C51" w:rsidRPr="00934C51" w:rsidRDefault="00934C51" w:rsidP="00934C51">
            <w:pPr>
              <w:numPr>
                <w:ilvl w:val="0"/>
                <w:numId w:val="6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06 06033 05 1000 110 — межселенные территории;</w:t>
            </w:r>
          </w:p>
          <w:p w:rsidR="00934C51" w:rsidRPr="00934C51" w:rsidRDefault="00934C51" w:rsidP="00934C51">
            <w:pPr>
              <w:numPr>
                <w:ilvl w:val="0"/>
                <w:numId w:val="6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06 06033 10 1000 110 — сельские поселения</w:t>
            </w:r>
          </w:p>
        </w:tc>
      </w:tr>
      <w:tr w:rsidR="00934C51" w:rsidRPr="00934C51" w:rsidTr="00934C51">
        <w:tc>
          <w:tcPr>
            <w:tcW w:w="0" w:type="auto"/>
            <w:gridSpan w:val="2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360" w:lineRule="atLeast"/>
              <w:rPr>
                <w:rFonts w:ascii="inherit" w:eastAsia="Times New Roman" w:hAnsi="inherit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Налог на прибыль организаций и НДС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Налог на прибыль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numPr>
                <w:ilvl w:val="0"/>
                <w:numId w:val="7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01011 01 1000 110 — в федеральный бюджет (8%);</w:t>
            </w:r>
          </w:p>
          <w:p w:rsidR="00934C51" w:rsidRPr="00934C51" w:rsidRDefault="00934C51" w:rsidP="00934C51">
            <w:pPr>
              <w:numPr>
                <w:ilvl w:val="0"/>
                <w:numId w:val="7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01 01012 02 1000 110 — в региональный бюджет (17%; для некоторых компаний в зависимости от вида деятельности, места нахождения ставка может быть снижена, например, для резидентов территорий опережающего развития)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НДС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numPr>
                <w:ilvl w:val="0"/>
                <w:numId w:val="8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03 01000 01 1000 110 — при реализации товаров (выполнении работ, оказании услуг);</w:t>
            </w:r>
          </w:p>
          <w:p w:rsidR="00934C51" w:rsidRPr="00934C51" w:rsidRDefault="00934C51" w:rsidP="00934C51">
            <w:pPr>
              <w:numPr>
                <w:ilvl w:val="0"/>
                <w:numId w:val="8"/>
              </w:numPr>
              <w:spacing w:after="0" w:line="285" w:lineRule="atLeast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04 01000 01 1000 110 — при импорте товаров из стран ЕАЭС (Белоруссии, Армении, Киргизии, Казахстана) — уплата через налоговую инспекцию</w:t>
            </w:r>
          </w:p>
        </w:tc>
      </w:tr>
      <w:tr w:rsidR="00934C51" w:rsidRPr="00934C51" w:rsidTr="00934C51">
        <w:tc>
          <w:tcPr>
            <w:tcW w:w="0" w:type="auto"/>
            <w:gridSpan w:val="2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360" w:lineRule="atLeast"/>
              <w:rPr>
                <w:rFonts w:ascii="inherit" w:eastAsia="Times New Roman" w:hAnsi="inherit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b/>
                <w:bCs/>
                <w:color w:val="00000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Другие платежи</w:t>
            </w:r>
          </w:p>
        </w:tc>
      </w:tr>
      <w:tr w:rsidR="00934C51" w:rsidRPr="00934C51" w:rsidTr="00934C51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lastRenderedPageBreak/>
              <w:t>Туристический налог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934C51" w:rsidRPr="00934C51" w:rsidRDefault="00934C51" w:rsidP="00934C51">
            <w:pPr>
              <w:spacing w:after="0" w:line="285" w:lineRule="atLeast"/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</w:pPr>
            <w:r w:rsidRPr="00934C51">
              <w:rPr>
                <w:rFonts w:ascii="inherit" w:eastAsia="Times New Roman" w:hAnsi="inherit" w:cs="Times New Roman"/>
                <w:color w:val="000000"/>
                <w:spacing w:val="-3"/>
                <w:sz w:val="21"/>
                <w:szCs w:val="21"/>
                <w:lang w:eastAsia="ru-RU"/>
              </w:rPr>
              <w:t>182 1 03 03000 01 1000 110</w:t>
            </w:r>
          </w:p>
        </w:tc>
      </w:tr>
    </w:tbl>
    <w:p w:rsidR="0077158B" w:rsidRDefault="0077158B"/>
    <w:sectPr w:rsidR="0077158B" w:rsidSect="00934C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3F8"/>
    <w:multiLevelType w:val="multilevel"/>
    <w:tmpl w:val="CD8E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450B5"/>
    <w:multiLevelType w:val="multilevel"/>
    <w:tmpl w:val="D9F2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52A8F"/>
    <w:multiLevelType w:val="multilevel"/>
    <w:tmpl w:val="F288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22FCD"/>
    <w:multiLevelType w:val="multilevel"/>
    <w:tmpl w:val="F81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E02595"/>
    <w:multiLevelType w:val="multilevel"/>
    <w:tmpl w:val="EA56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771DDD"/>
    <w:multiLevelType w:val="multilevel"/>
    <w:tmpl w:val="B76A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60331E"/>
    <w:multiLevelType w:val="multilevel"/>
    <w:tmpl w:val="6FEA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EA73A2"/>
    <w:multiLevelType w:val="multilevel"/>
    <w:tmpl w:val="D6FC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4C51"/>
    <w:rsid w:val="0077158B"/>
    <w:rsid w:val="0093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8B"/>
  </w:style>
  <w:style w:type="paragraph" w:styleId="2">
    <w:name w:val="heading 2"/>
    <w:basedOn w:val="a"/>
    <w:link w:val="20"/>
    <w:uiPriority w:val="9"/>
    <w:qFormat/>
    <w:rsid w:val="00934C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4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4C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4C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is-ruarticles--pb8">
    <w:name w:val="sbis-ru__articles--pb8"/>
    <w:basedOn w:val="a"/>
    <w:rsid w:val="009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is-ru-newbanner-header">
    <w:name w:val="sbis-ru-newbanner-header"/>
    <w:basedOn w:val="a"/>
    <w:rsid w:val="009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is-ruarticles--pb16">
    <w:name w:val="sbis-ru__articles--pb16"/>
    <w:basedOn w:val="a"/>
    <w:rsid w:val="009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bis-ru-newbanner-arrow-btn--hover">
    <w:name w:val="sbis-ru-newbanner-arrow-btn--hover"/>
    <w:basedOn w:val="a0"/>
    <w:rsid w:val="00934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19">
              <w:marLeft w:val="0"/>
              <w:marRight w:val="0"/>
              <w:marTop w:val="96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4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840</Words>
  <Characters>4794</Characters>
  <Application>Microsoft Office Word</Application>
  <DocSecurity>0</DocSecurity>
  <Lines>39</Lines>
  <Paragraphs>11</Paragraphs>
  <ScaleCrop>false</ScaleCrop>
  <Company>RePack by SPecialiST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2025-10-08T06:09:00Z</dcterms:created>
  <dcterms:modified xsi:type="dcterms:W3CDTF">2025-10-08T06:12:00Z</dcterms:modified>
</cp:coreProperties>
</file>