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0CD" w:rsidRPr="00D150CD" w:rsidRDefault="00D150CD" w:rsidP="00D150CD">
      <w:pPr>
        <w:spacing w:after="0" w:line="240" w:lineRule="auto"/>
        <w:ind w:firstLine="426"/>
        <w:jc w:val="both"/>
        <w:outlineLvl w:val="0"/>
        <w:rPr>
          <w:rFonts w:ascii="Times New Roman" w:eastAsia="Times New Roman" w:hAnsi="Times New Roman" w:cs="Times New Roman"/>
          <w:b/>
          <w:bCs/>
          <w:color w:val="000000"/>
          <w:kern w:val="36"/>
          <w:sz w:val="36"/>
          <w:szCs w:val="36"/>
          <w:lang w:eastAsia="ru-RU"/>
        </w:rPr>
      </w:pPr>
      <w:r w:rsidRPr="00D150CD">
        <w:rPr>
          <w:rFonts w:ascii="Times New Roman" w:eastAsia="Times New Roman" w:hAnsi="Times New Roman" w:cs="Times New Roman"/>
          <w:b/>
          <w:bCs/>
          <w:color w:val="000000"/>
          <w:kern w:val="36"/>
          <w:sz w:val="36"/>
          <w:szCs w:val="36"/>
          <w:lang w:eastAsia="ru-RU"/>
        </w:rPr>
        <w:t>Разработка финансовой политики организации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bookmarkStart w:id="0" w:name="_GoBack"/>
      <w:bookmarkEnd w:id="0"/>
      <w:r w:rsidRPr="00D150CD">
        <w:rPr>
          <w:rFonts w:ascii="Times New Roman" w:eastAsia="Times New Roman" w:hAnsi="Times New Roman" w:cs="Times New Roman"/>
          <w:sz w:val="24"/>
          <w:szCs w:val="24"/>
          <w:lang w:eastAsia="ru-RU"/>
        </w:rPr>
        <w:t>К основным направлениям разработки финансовой политики организации относятся:</w:t>
      </w:r>
    </w:p>
    <w:p w:rsid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1) анализ финансово-экономического состояния организации;</w:t>
      </w:r>
    </w:p>
    <w:p w:rsid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2) разработка учетной и налоговой политики;</w:t>
      </w:r>
    </w:p>
    <w:p w:rsid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3) выработка кредитной политики организации;</w:t>
      </w:r>
    </w:p>
    <w:p w:rsid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4) управление оборотными средствами, кредиторской и дебиторской задолженностью;</w:t>
      </w:r>
    </w:p>
    <w:p w:rsid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5) управление издержками, включая выбор амортизационной политики;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6) выбор дивидендной политики.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Анализ финансово-экономического состояния организации</w:t>
      </w:r>
      <w:r w:rsidRPr="00D150CD">
        <w:rPr>
          <w:rFonts w:ascii="Times New Roman" w:eastAsia="Times New Roman" w:hAnsi="Times New Roman" w:cs="Times New Roman"/>
          <w:sz w:val="24"/>
          <w:szCs w:val="24"/>
          <w:lang w:eastAsia="ru-RU"/>
        </w:rPr>
        <w:t> является той базой, на которой строится разработка финансовой политики организации. Анализ опирается на показатели квартальной и годовой бухгалтерской отчетности. Предварительный анализ осуществляется перед составлением бухгалтерской и финансовой отчетности, когда еще имеется возможность изменить ряд статей баланса, а также для составления пояснительной записки к годовому отчету. На основе данных итогового анализа осуществляется выработка почти всех направлений финансовой политики организации. От того, насколько качественно он проведен, зависит эффективность принимаемых управленческих решений. Качество самого финансового анализа зависит от применяемой методики, достоверности данных отчетности, а также от компетентности лица, принимающего управленческое решение в области финансовой политики.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Перечислим основные компоненты финансово-экономического анализа деятельности организации.</w:t>
      </w:r>
    </w:p>
    <w:p w:rsidR="00D150CD" w:rsidRPr="00D150CD" w:rsidRDefault="00D150CD" w:rsidP="00D150CD">
      <w:pPr>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Анализ бухгалтерской отчетности.</w:t>
      </w:r>
      <w:r w:rsidRPr="00D150CD">
        <w:rPr>
          <w:rFonts w:ascii="Times New Roman" w:eastAsia="Times New Roman" w:hAnsi="Times New Roman" w:cs="Times New Roman"/>
          <w:sz w:val="24"/>
          <w:szCs w:val="24"/>
          <w:lang w:eastAsia="ru-RU"/>
        </w:rPr>
        <w:t> Это — изучение абсолютных показателей, представленных в бухгалтерской отчетности. В процессе анализа определяется состав имущества организации, его финансовые вложения, источники формирования собственного капитала, оцениваются связи с поставщиками и покупателями, определяются размер и источники заемных средств, оценивается объем выручки от реализации и размер прибыли. При этом следует сравнить фактические показатели отчетности с плановыми (сметными) и установить причины их несоответствия.</w:t>
      </w:r>
    </w:p>
    <w:p w:rsidR="00D150CD" w:rsidRPr="00D150CD" w:rsidRDefault="00D150CD" w:rsidP="00D150CD">
      <w:pPr>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Горизонтальный анализ.</w:t>
      </w:r>
      <w:r w:rsidRPr="00D150CD">
        <w:rPr>
          <w:rFonts w:ascii="Times New Roman" w:eastAsia="Times New Roman" w:hAnsi="Times New Roman" w:cs="Times New Roman"/>
          <w:sz w:val="24"/>
          <w:szCs w:val="24"/>
          <w:lang w:eastAsia="ru-RU"/>
        </w:rPr>
        <w:t> Состоит в сравнении показателей бухгалтерской отчетности с показателями предыдущих периодов. Наиболее распространенными методами горизонтального анализа являются: простое сравнение статей отчетности и анализ их резких изменений; анализ изменений статей отчетности в сравнении с изменениями других статей. При этом особое внимание следует уделять случаям, когда изменение одного показателя по экономической природе не соответствует изменению другого показателя.</w:t>
      </w:r>
    </w:p>
    <w:p w:rsidR="00D150CD" w:rsidRPr="00D150CD" w:rsidRDefault="00D150CD" w:rsidP="00D150CD">
      <w:pPr>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Вертикальный анализ.</w:t>
      </w:r>
      <w:r w:rsidRPr="00D150CD">
        <w:rPr>
          <w:rFonts w:ascii="Times New Roman" w:eastAsia="Times New Roman" w:hAnsi="Times New Roman" w:cs="Times New Roman"/>
          <w:sz w:val="24"/>
          <w:szCs w:val="24"/>
          <w:lang w:eastAsia="ru-RU"/>
        </w:rPr>
        <w:t> Проводится в целях выявления удельного веса отдельных статей отчетности в общем итоговом показателе и последующего сравнения результата с данными предыдущего периода.</w:t>
      </w:r>
    </w:p>
    <w:p w:rsidR="00D150CD" w:rsidRPr="00D150CD" w:rsidRDefault="00D150CD" w:rsidP="00D150CD">
      <w:pPr>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Трендовый анализ.</w:t>
      </w:r>
      <w:r w:rsidRPr="00D150CD">
        <w:rPr>
          <w:rFonts w:ascii="Times New Roman" w:eastAsia="Times New Roman" w:hAnsi="Times New Roman" w:cs="Times New Roman"/>
          <w:sz w:val="24"/>
          <w:szCs w:val="24"/>
          <w:lang w:eastAsia="ru-RU"/>
        </w:rPr>
        <w:t> Основан на расчете относительных отклонений показателей отчетности за ряд лет от уровня базисного года.</w:t>
      </w:r>
    </w:p>
    <w:p w:rsidR="00D150CD" w:rsidRPr="00D150CD" w:rsidRDefault="00D150CD" w:rsidP="00D150CD">
      <w:pPr>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Расчет финансовых коэффициентов.</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Для предварительной оценки финансово-экономического состояния приведенные показатели следует разделить на первый и второй классы, имеющие между собой качественные различия.</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w:t>
      </w:r>
      <w:r w:rsidRPr="00D150CD">
        <w:rPr>
          <w:rFonts w:ascii="Times New Roman" w:eastAsia="Times New Roman" w:hAnsi="Times New Roman" w:cs="Times New Roman"/>
          <w:i/>
          <w:iCs/>
          <w:sz w:val="24"/>
          <w:szCs w:val="24"/>
          <w:lang w:eastAsia="ru-RU"/>
        </w:rPr>
        <w:t>первый класс</w:t>
      </w:r>
      <w:r w:rsidRPr="00D150CD">
        <w:rPr>
          <w:rFonts w:ascii="Times New Roman" w:eastAsia="Times New Roman" w:hAnsi="Times New Roman" w:cs="Times New Roman"/>
          <w:sz w:val="24"/>
          <w:szCs w:val="24"/>
          <w:lang w:eastAsia="ru-RU"/>
        </w:rPr>
        <w:t> входят показатели, для которых определены нормативные значения. К их числу относятся показатели ликвидности и финансовой устойчивости. При этом как снижение значений показателей ниже нормативных, так и их превышение, а также их движение в одном из названных направлений следует трактовать как ухудшение характеристик организации.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Во </w:t>
      </w:r>
      <w:r w:rsidRPr="00D150CD">
        <w:rPr>
          <w:rFonts w:ascii="Times New Roman" w:eastAsia="Times New Roman" w:hAnsi="Times New Roman" w:cs="Times New Roman"/>
          <w:i/>
          <w:iCs/>
          <w:sz w:val="24"/>
          <w:szCs w:val="24"/>
          <w:lang w:eastAsia="ru-RU"/>
        </w:rPr>
        <w:t>второй класс</w:t>
      </w:r>
      <w:r w:rsidRPr="00D150CD">
        <w:rPr>
          <w:rFonts w:ascii="Times New Roman" w:eastAsia="Times New Roman" w:hAnsi="Times New Roman" w:cs="Times New Roman"/>
          <w:sz w:val="24"/>
          <w:szCs w:val="24"/>
          <w:lang w:eastAsia="ru-RU"/>
        </w:rPr>
        <w:t xml:space="preserve"> показателей входят ненормируемые показатели, значения которых не могут служить для оценки эффективности функционирования организации и ее финансово-экономического состояния без сравнения со значениями этих показателей в организациях, выпускающих продукцию, аналогичную продукции организации, и имеющих </w:t>
      </w:r>
      <w:r w:rsidRPr="00D150CD">
        <w:rPr>
          <w:rFonts w:ascii="Times New Roman" w:eastAsia="Times New Roman" w:hAnsi="Times New Roman" w:cs="Times New Roman"/>
          <w:sz w:val="24"/>
          <w:szCs w:val="24"/>
          <w:lang w:eastAsia="ru-RU"/>
        </w:rPr>
        <w:lastRenderedPageBreak/>
        <w:t>производственные мощности, сравнимые с мощностями организации, или анализа тенденций изменения этих показателей. В эту группу входят показатели рентабельности, характеристики структуры имущества, источников и состояния оборотных средств.</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По данной группе показателей целесообразно опираться на анализ тенденций изменения показателей и выявлять их ухудшение или улучшение. Таким образом, вторая группа может быть охарактеризована лишь следующими состояниями:</w:t>
      </w:r>
    </w:p>
    <w:p w:rsidR="00D150CD" w:rsidRPr="00D150CD" w:rsidRDefault="00D150CD" w:rsidP="00D150CD">
      <w:pPr>
        <w:numPr>
          <w:ilvl w:val="0"/>
          <w:numId w:val="2"/>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«улучшение» — 1;</w:t>
      </w:r>
    </w:p>
    <w:p w:rsidR="00D150CD" w:rsidRPr="00D150CD" w:rsidRDefault="00D150CD" w:rsidP="00D150CD">
      <w:pPr>
        <w:numPr>
          <w:ilvl w:val="0"/>
          <w:numId w:val="2"/>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«стабильность» — 2;</w:t>
      </w:r>
    </w:p>
    <w:p w:rsidR="00D150CD" w:rsidRPr="00D150CD" w:rsidRDefault="00D150CD" w:rsidP="00D150CD">
      <w:pPr>
        <w:numPr>
          <w:ilvl w:val="0"/>
          <w:numId w:val="2"/>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«ухудшение» — 3.</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Для ряда показателей могут быть определены «коридоры» оптимальных значений в зависимости от их принадлежности к различным видам деятельности и других особенностей функционирования организаций. Так, обобщение достаточного фактического материала позволит определить наиболее эффективные соотношения оборотных и необоротных средств, которые различаются для организаций различных отраслей.</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Информационной базой для проведения углубленного финансового анализа служит бухгалтерский баланс, отчет о прибылях и убытках и некоторые формы бухгалтерского учета организации. В связи с этим организации следует выделить службу, занимающуюся анализом финансово-экономического состояния, основными задачами которой будут:</w:t>
      </w:r>
    </w:p>
    <w:p w:rsidR="00D150CD" w:rsidRPr="00D150CD" w:rsidRDefault="00D150CD" w:rsidP="00D150CD">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разработка входных и выходных форм документов с показателями. Бухгалтерской службе следует заполнять эти формы с той периодичностью, которая наиболее целесообразна для поддержки работы финансовой службы;</w:t>
      </w:r>
    </w:p>
    <w:p w:rsidR="00D150CD" w:rsidRPr="00D150CD" w:rsidRDefault="00D150CD" w:rsidP="00D150CD">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периодическое (ежеквартально, ежемесячно, ежегодно) составление пояснительных записок к выходным формам с расчетными показателями с подробным анализом отклонений (от плановых, среднеотраслевых показателей, показателей предыдущего года, конкурентов и т.д.) с выдачей рекомендаций по устранению недостатков.</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Примером осуществления финансовой политики на основе полученных результатов финансово-экономического анализа может служить принятие решения о реструктуризации имущественного комплекса в результате проведенного анализа рентабельности основных средств. Если их рентабельность низкая, стоимость основных фондов в структуре имущества высокая, поэтому следует принять решение о ликвидации или продаже (передаче), консервации основных средств, целесообразности проведения их переоценки с учетом их рыночной стоимости, изменения механизма начисления амортизации и т.д.</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Разработка учетной политики</w:t>
      </w:r>
      <w:r w:rsidRPr="00D150CD">
        <w:rPr>
          <w:rFonts w:ascii="Times New Roman" w:eastAsia="Times New Roman" w:hAnsi="Times New Roman" w:cs="Times New Roman"/>
          <w:sz w:val="24"/>
          <w:szCs w:val="24"/>
          <w:lang w:eastAsia="ru-RU"/>
        </w:rPr>
        <w:t> как системы методов и приемов ведения бухгалтерского учета обязательна для всех организаций в соответствии с Положением по бухгалтерскому учету «Учетная политика организации» (ПБУ 1/98).</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связи с этим целесообразно на основании проведенного анализа финансово-экономического состояния просчитать варианты тех или иных положений учетной политики, поскольку от принятых в этой части решений напрямую зависит количество и суммы перечисляемых налогов, структура баланса, значения ряда ключевых финансово-экономических показателей.</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При определении учетной политики у организации существует выбор, который касается главным образом методов списания сырья и материалов в производство, методов оценки незавершенного производства, возможности применения вариантов амортизации, вариантов формирования ремонтных и страховых фондов и т.д.</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Наибольший эффект оптимизация учетной политики дает на этапе маркетинговых исследований конкретных видов продукции, освоения их производства, а также планирования новых производств и участков, технологических схем и создания новых структур.</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целях выработки </w:t>
      </w:r>
      <w:r w:rsidRPr="00D150CD">
        <w:rPr>
          <w:rFonts w:ascii="Times New Roman" w:eastAsia="Times New Roman" w:hAnsi="Times New Roman" w:cs="Times New Roman"/>
          <w:i/>
          <w:iCs/>
          <w:sz w:val="24"/>
          <w:szCs w:val="24"/>
          <w:lang w:eastAsia="ru-RU"/>
        </w:rPr>
        <w:t>кредитной политики</w:t>
      </w:r>
      <w:r w:rsidRPr="00D150CD">
        <w:rPr>
          <w:rFonts w:ascii="Times New Roman" w:eastAsia="Times New Roman" w:hAnsi="Times New Roman" w:cs="Times New Roman"/>
          <w:sz w:val="24"/>
          <w:szCs w:val="24"/>
          <w:lang w:eastAsia="ru-RU"/>
        </w:rPr>
        <w:t xml:space="preserve"> организации рекомендуется провести анализ структуры пассива баланса и уровень соотношения собственных и заемных средств. На основании этих данных организация решает вопрос о достаточности собственных </w:t>
      </w:r>
      <w:r w:rsidRPr="00D150CD">
        <w:rPr>
          <w:rFonts w:ascii="Times New Roman" w:eastAsia="Times New Roman" w:hAnsi="Times New Roman" w:cs="Times New Roman"/>
          <w:sz w:val="24"/>
          <w:szCs w:val="24"/>
          <w:lang w:eastAsia="ru-RU"/>
        </w:rPr>
        <w:lastRenderedPageBreak/>
        <w:t>оборотных средств либо об их недостатке. В последнем случае принимается решение о привлечении заемных средств, просчитывается эффективность различных вариантов.</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отдельных случаях организации целесообразно брать кредиты и при достаточности собственных средств, так как рентабельность собственного капитала повышается в результате того, что эффект от вложения средств может быть значительно выше, чем процентная ставка.</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Принимая решение о привлечении заемных средств, организации целесообразно составить план их возврата, рассчитать за период кредита процентную ставку и определить суммы процентов по данному кредитному договору, а также источники их выплаты с учетом порядка и условий налогообложения прибыли. Следует также учитывать порядок налогообложения курсовых разниц в том случае, если кредит взят в валюте.</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Организации может быть выгодно взять вексельный кредит, при этом следует сравнить процентные ставки по векселю и кредиту.</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Финансовым службам рекомендуется учитывать все возможные выгоды и затраты по привлечению финансовых ресурсов как через систему кредитования, так и через инструменты рынка ценных бумаг, а также разработать схему обеспечения их погашения с учетом всех возможных источников получения организацией средств. Финансовой службе рекомендуется:</w:t>
      </w:r>
    </w:p>
    <w:p w:rsidR="00D150CD" w:rsidRPr="00D150CD" w:rsidRDefault="00D150CD" w:rsidP="00D150CD">
      <w:pPr>
        <w:numPr>
          <w:ilvl w:val="0"/>
          <w:numId w:val="4"/>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рассчитать потребность в заемных средствах (при ее отсутствии — возможную выгоду от их привлечения);</w:t>
      </w:r>
    </w:p>
    <w:p w:rsidR="00D150CD" w:rsidRPr="00D150CD" w:rsidRDefault="00D150CD" w:rsidP="00D150CD">
      <w:pPr>
        <w:numPr>
          <w:ilvl w:val="0"/>
          <w:numId w:val="4"/>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правильно выбрать кредитную организацию (учитывая наличие лицензии, размер процентной ставки, способы ее расчета — сложным или простым процентом, сроки погашения, формы выдачи, репутацию на рынке ценных бумаг, условия пролонгации кредитов и т.д.);</w:t>
      </w:r>
    </w:p>
    <w:p w:rsidR="00D150CD" w:rsidRPr="00D150CD" w:rsidRDefault="00D150CD" w:rsidP="00D150CD">
      <w:pPr>
        <w:numPr>
          <w:ilvl w:val="0"/>
          <w:numId w:val="4"/>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составить план погашения заемных средств и расчет процентной суммы с учетом особенностей налогообложения прибыли.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i/>
          <w:iCs/>
          <w:sz w:val="24"/>
          <w:szCs w:val="24"/>
          <w:lang w:eastAsia="ru-RU"/>
        </w:rPr>
        <w:t>Управление оборотными средствами</w:t>
      </w:r>
      <w:r w:rsidRPr="00D150CD">
        <w:rPr>
          <w:rFonts w:ascii="Times New Roman" w:eastAsia="Times New Roman" w:hAnsi="Times New Roman" w:cs="Times New Roman"/>
          <w:sz w:val="24"/>
          <w:szCs w:val="24"/>
          <w:lang w:eastAsia="ru-RU"/>
        </w:rPr>
        <w:t> (денежными средствами, рыночными ценными бумагами), дебиторской задолженностью, кредиторской задолженностью, начислениями и другими средствами краткосрочного финансирования (кроме производственных запасов), а также решение вопросов по этим проблемам требует значительного количества времени, и здесь наиболее ярко проявляется основная проблема управления финансами: выбор между рентабельностью и вероятностью неплатежеспособности (стоимость активов организации становится меньше ее кредиторской задолженности).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Финансовой службе организации целесообразно постоянно контролировать очередность сроков финансирования активов, выбирая один из нескольких существующих на практике способов:</w:t>
      </w:r>
    </w:p>
    <w:p w:rsidR="00D150CD" w:rsidRPr="00D150CD" w:rsidRDefault="00D150CD" w:rsidP="00D150CD">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хеджирование (компенсация активов обязательствами при равном сроке погашения);</w:t>
      </w:r>
    </w:p>
    <w:p w:rsidR="00D150CD" w:rsidRPr="00D150CD" w:rsidRDefault="00D150CD" w:rsidP="00D150CD">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финансирование по краткосрочным ссудам;</w:t>
      </w:r>
    </w:p>
    <w:p w:rsidR="00D150CD" w:rsidRPr="00D150CD" w:rsidRDefault="00D150CD" w:rsidP="00D150CD">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финансирование по долгосрочным ссудам;</w:t>
      </w:r>
    </w:p>
    <w:p w:rsidR="00D150CD" w:rsidRPr="00D150CD" w:rsidRDefault="00D150CD" w:rsidP="00D150CD">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финансирование преимущественно по долгосрочным ссудам (консервативная политика);</w:t>
      </w:r>
    </w:p>
    <w:p w:rsidR="00D150CD" w:rsidRPr="00D150CD" w:rsidRDefault="00D150CD" w:rsidP="00D150CD">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финансирование преимущественно по краткосрочным ссудам (агрессивная политика).</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настоящих условиях организация может поддерживать обеспеченность взятых ссуд следующими методами:</w:t>
      </w:r>
    </w:p>
    <w:p w:rsid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1) увеличение доли ликвидных активов;</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2) удлинение сроков, на которые выдаются ссуды организации.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Однако следует учесть, что эти методы ведут к снижению прибыльности: в первом случае — путем вложения средств в малоприбыльные активы; во втором — посредством возможности выплаты процентов по ссуде в период наличия собственных средств.</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lastRenderedPageBreak/>
        <w:t>Кроме того, может быть применен метод финансирования за счет откладывания выплат по обязательствам, однако существуют пределы, установленные законодательством, до которых организация может относить сроки платежей.</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результате анализа оборачиваемости дебиторской и кредиторской задолженности с учетом их нормативных значений рекомендуется провести следующие мероприятия:</w:t>
      </w:r>
    </w:p>
    <w:p w:rsidR="00D150CD" w:rsidRPr="00D150CD" w:rsidRDefault="00D150CD" w:rsidP="00D150CD">
      <w:pPr>
        <w:numPr>
          <w:ilvl w:val="0"/>
          <w:numId w:val="6"/>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принятие решения о замене неденежных форм расчетов или по крайней мере об установлении их оптимального критического уровня на основе анализа эффективности вексельных расчетов или операций по переуступке прав требования долга;</w:t>
      </w:r>
    </w:p>
    <w:p w:rsidR="00D150CD" w:rsidRPr="00D150CD" w:rsidRDefault="00D150CD" w:rsidP="00D150CD">
      <w:pPr>
        <w:numPr>
          <w:ilvl w:val="0"/>
          <w:numId w:val="6"/>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составление программы по ликвидации задолженности по выплате заработной платы (при наличии такой задолженности);</w:t>
      </w:r>
    </w:p>
    <w:p w:rsidR="00D150CD" w:rsidRPr="00D150CD" w:rsidRDefault="00D150CD" w:rsidP="00D150CD">
      <w:pPr>
        <w:numPr>
          <w:ilvl w:val="0"/>
          <w:numId w:val="6"/>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рассмотрение возможности реструктуризации задолженности по платежам в бюджет.</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результате такого анализа целесообразно провести полную инвентаризацию задолженности в целях реализации возможности взаимного погашения задолженности либо ее реструктуризации или провести анализ и списание безнадежных долгов и невостребованных сумм. В ряде случаев организации следует начать претензионную работу или обращаться с исками в арбитражный суд.</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целях </w:t>
      </w:r>
      <w:r w:rsidRPr="00D150CD">
        <w:rPr>
          <w:rFonts w:ascii="Times New Roman" w:eastAsia="Times New Roman" w:hAnsi="Times New Roman" w:cs="Times New Roman"/>
          <w:i/>
          <w:iCs/>
          <w:sz w:val="24"/>
          <w:szCs w:val="24"/>
          <w:lang w:eastAsia="ru-RU"/>
        </w:rPr>
        <w:t>управления издержками и выбора амортизационной политики</w:t>
      </w:r>
      <w:r w:rsidRPr="00D150CD">
        <w:rPr>
          <w:rFonts w:ascii="Times New Roman" w:eastAsia="Times New Roman" w:hAnsi="Times New Roman" w:cs="Times New Roman"/>
          <w:sz w:val="24"/>
          <w:szCs w:val="24"/>
          <w:lang w:eastAsia="ru-RU"/>
        </w:rPr>
        <w:t> рекомендуется использовать данные финансово-экономического анализа, которые дают первоначальное представление об уровне издержек организации, а также уровне рентабельности. При разработке учетной политики организации рекомендуется выбрать такие методы калькулирования себестоимости, которые обеспечивают наиболее наглядное представление о структуре издержек производства, уровне постоянных и переменных затрат, доле коммерческих расходов.</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Экономическим службам целесообразно периодически проводить анализ структуры издержек производства, производя сравнение с различного рода базовыми данными и изучая природу отклонений от них.</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При разработке учетной политики службам, осуществляющим планирование деятельности организации, совместно с бухгалтерией следует правильно выбрать базу для распределения косвенных расходов между объектами калькулирования либо выбрать метод отнесения косвенных расходов на себестоимость реализованной продукции.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В целях создания предпосылок для эффективной аналитической работы и повышения качества принимаемых финансово-экономических решений необходимо четко определить и организовать раздельный учет затрат по следующим группам:</w:t>
      </w:r>
    </w:p>
    <w:p w:rsidR="00D150CD" w:rsidRPr="00D150CD" w:rsidRDefault="00D150CD" w:rsidP="00D150CD">
      <w:pPr>
        <w:numPr>
          <w:ilvl w:val="0"/>
          <w:numId w:val="7"/>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переменные затраты, которые возрастают либо уменьшаются пропорционально объему производства. Это расходы на закупку сырья и материалов, потребление электроэнергии, транспортные издержки, торгово-комиссионные и другие расходы;</w:t>
      </w:r>
    </w:p>
    <w:p w:rsidR="00D150CD" w:rsidRPr="00D150CD" w:rsidRDefault="00D150CD" w:rsidP="00D150CD">
      <w:pPr>
        <w:numPr>
          <w:ilvl w:val="0"/>
          <w:numId w:val="7"/>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постоянные затраты, изменение которых не связано непосредственно с изменением объемов производства. К таким затратам относятся амортизационные отчисления, проценты за кредит, арендная плата, затраты на содержание аппарата управления, административные расходы и др.;</w:t>
      </w:r>
    </w:p>
    <w:p w:rsidR="00D150CD" w:rsidRPr="00D150CD" w:rsidRDefault="00D150CD" w:rsidP="00D150CD">
      <w:pPr>
        <w:numPr>
          <w:ilvl w:val="0"/>
          <w:numId w:val="7"/>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смешанные затраты, состоящие из постоянной и переменной части. К таким затратам относятся, например, затраты на текущий ремонт оборудования, почтовые и телеграфные расходы и др.</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Следует учесть, что зачастую провести четкую границу между переменными и постоянными затратами сложно. Например, в затратах на электроэнергию может быть как переменная составляющая, непосредственно зависящая от объемов производства, так и постоянная, связанная, например, с освещением помещений, работой охранных систем, компьютерных сетей и т.п. Во всех случаях руководству организации целесообразно стремиться к такой организации учета, при которой вся совокупность затрат четко разделена по названным группам.</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lastRenderedPageBreak/>
        <w:t>Большую роль при формировании финансовой политики организации играет выбор амортизационной политики. Организация может применить метод ускоренной амортизации, увеличивая тем самым издержки, произвести переоценку основных средств, что повлияет на издержки производства, на сумму налога на имущество, а следовательно, на уровень внереализационных расходов. Кроме того, сумма амортизации влияет и на налогооблагаемую прибыль организации.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Проблемами, решение которых обусловливает необходимость выработки </w:t>
      </w:r>
      <w:r w:rsidRPr="00D150CD">
        <w:rPr>
          <w:rFonts w:ascii="Times New Roman" w:eastAsia="Times New Roman" w:hAnsi="Times New Roman" w:cs="Times New Roman"/>
          <w:i/>
          <w:iCs/>
          <w:sz w:val="24"/>
          <w:szCs w:val="24"/>
          <w:lang w:eastAsia="ru-RU"/>
        </w:rPr>
        <w:t>дивидендной политики</w:t>
      </w:r>
      <w:r w:rsidRPr="00D150CD">
        <w:rPr>
          <w:rFonts w:ascii="Times New Roman" w:eastAsia="Times New Roman" w:hAnsi="Times New Roman" w:cs="Times New Roman"/>
          <w:sz w:val="24"/>
          <w:szCs w:val="24"/>
          <w:lang w:eastAsia="ru-RU"/>
        </w:rPr>
        <w:t>, являются:</w:t>
      </w:r>
    </w:p>
    <w:p w:rsidR="00D150CD" w:rsidRPr="00D150CD" w:rsidRDefault="00D150CD" w:rsidP="00D150CD">
      <w:pPr>
        <w:numPr>
          <w:ilvl w:val="0"/>
          <w:numId w:val="8"/>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с одной стороны, выплата дивидендов должна обеспечить защиту интересов собственника и создать предпосылки для роста курсовой цены акций, и в этом смысле их максимизация является положительной тенденцией;</w:t>
      </w:r>
    </w:p>
    <w:p w:rsidR="00D150CD" w:rsidRPr="00D150CD" w:rsidRDefault="00D150CD" w:rsidP="00D150CD">
      <w:pPr>
        <w:numPr>
          <w:ilvl w:val="0"/>
          <w:numId w:val="8"/>
        </w:numPr>
        <w:spacing w:after="0" w:line="240" w:lineRule="auto"/>
        <w:ind w:left="0"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с другой стороны, максимизация выплаты дивидендов сокращает долю прибыли, реинвестируемой в развитие производства.</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При формировании дивидендной политики необходимо учитывать, что классическая формула — «курс акций прямо пропорционален дивиденду и обратно пропорционален процентной ставке по альтернативным вложениям»: применима далеко не во всех случаях. Инвесторы могут высоко оценить стоимость акций организации даже и без выплаты дивидендов, если они хорошо информированы о его программах развития, причинах невыплаты или сокращения выплаты дивидендов и направлениях реинвестирования прибыли.</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t>Принятие решения о выплате дивидендов и их размерах в значительной мере определяется стадией жизненного цикла организации. Например, если руководство организации предполагает осуществить серьезную программу реконструкции и для ее реализации намечает осуществить дополнительную эмиссию акций, то такой эмиссии должен предшествовать достаточно долгий период устойчиво высоких выплат дивидендов, что приведет к существенному повышению курса акций.</w:t>
      </w:r>
    </w:p>
    <w:p w:rsidR="00D150CD" w:rsidRPr="00D150CD" w:rsidRDefault="00D150CD" w:rsidP="00D150CD">
      <w:pPr>
        <w:spacing w:after="0" w:line="240" w:lineRule="auto"/>
        <w:ind w:firstLine="426"/>
        <w:jc w:val="both"/>
        <w:rPr>
          <w:rFonts w:ascii="Times New Roman" w:eastAsia="Times New Roman" w:hAnsi="Times New Roman" w:cs="Times New Roman"/>
          <w:sz w:val="24"/>
          <w:szCs w:val="24"/>
          <w:lang w:eastAsia="ru-RU"/>
        </w:rPr>
      </w:pPr>
      <w:r w:rsidRPr="00D150CD">
        <w:rPr>
          <w:rFonts w:ascii="Times New Roman" w:eastAsia="Times New Roman" w:hAnsi="Times New Roman" w:cs="Times New Roman"/>
          <w:sz w:val="24"/>
          <w:szCs w:val="24"/>
          <w:lang w:eastAsia="ru-RU"/>
        </w:rPr>
        <w:pict>
          <v:rect id="_x0000_i1040" style="width:0;height:1.5pt" o:hralign="center" o:hrstd="t" o:hrnoshade="t" o:hr="t" fillcolor="black" stroked="f"/>
        </w:pict>
      </w:r>
    </w:p>
    <w:p w:rsidR="00D150CD" w:rsidRDefault="00D150CD" w:rsidP="00D150CD">
      <w:pPr>
        <w:spacing w:after="0"/>
        <w:ind w:firstLine="426"/>
        <w:jc w:val="both"/>
      </w:pPr>
    </w:p>
    <w:sectPr w:rsidR="00D15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75737"/>
    <w:multiLevelType w:val="multilevel"/>
    <w:tmpl w:val="5A2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D0B92"/>
    <w:multiLevelType w:val="multilevel"/>
    <w:tmpl w:val="384A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1575E"/>
    <w:multiLevelType w:val="multilevel"/>
    <w:tmpl w:val="128A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E300A"/>
    <w:multiLevelType w:val="multilevel"/>
    <w:tmpl w:val="3F86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429B5"/>
    <w:multiLevelType w:val="multilevel"/>
    <w:tmpl w:val="A290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732FC"/>
    <w:multiLevelType w:val="multilevel"/>
    <w:tmpl w:val="366C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2373B"/>
    <w:multiLevelType w:val="multilevel"/>
    <w:tmpl w:val="3F42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06ECB"/>
    <w:multiLevelType w:val="multilevel"/>
    <w:tmpl w:val="4AF2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CD"/>
    <w:rsid w:val="00D15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4790"/>
  <w15:chartTrackingRefBased/>
  <w15:docId w15:val="{57A1AB67-152F-4DF2-A312-3D392946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735391">
      <w:bodyDiv w:val="1"/>
      <w:marLeft w:val="0"/>
      <w:marRight w:val="0"/>
      <w:marTop w:val="0"/>
      <w:marBottom w:val="0"/>
      <w:divBdr>
        <w:top w:val="none" w:sz="0" w:space="0" w:color="auto"/>
        <w:left w:val="none" w:sz="0" w:space="0" w:color="auto"/>
        <w:bottom w:val="none" w:sz="0" w:space="0" w:color="auto"/>
        <w:right w:val="none" w:sz="0" w:space="0" w:color="auto"/>
      </w:divBdr>
      <w:divsChild>
        <w:div w:id="1695378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2349</Words>
  <Characters>13394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Пензенский ГАУ</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2022-04-21T05:24:00Z</dcterms:created>
  <dcterms:modified xsi:type="dcterms:W3CDTF">2022-04-21T05:26:00Z</dcterms:modified>
</cp:coreProperties>
</file>