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5974" w14:textId="04FB7E87" w:rsidR="00D969C7" w:rsidRPr="00D969C7" w:rsidRDefault="00D969C7" w:rsidP="00D969C7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9C7">
        <w:rPr>
          <w:rFonts w:ascii="Times New Roman" w:hAnsi="Times New Roman" w:cs="Times New Roman"/>
          <w:b/>
          <w:bCs/>
          <w:sz w:val="28"/>
          <w:szCs w:val="28"/>
        </w:rPr>
        <w:t>Анализа амортизационной политики предприятия</w:t>
      </w:r>
    </w:p>
    <w:p w14:paraId="6DD0606C" w14:textId="6E0FFA61" w:rsidR="00D969C7" w:rsidRDefault="00D969C7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760551D9" w14:textId="7E81EAC2" w:rsidR="00D969C7" w:rsidRDefault="00D969C7" w:rsidP="00FD63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D6376">
        <w:rPr>
          <w:rFonts w:ascii="Times New Roman" w:hAnsi="Times New Roman" w:cs="Times New Roman"/>
        </w:rPr>
        <w:t xml:space="preserve">На первом этапе проводится анализ способов начисления амортизации по разным группам. Все имущество, которое числится на балансе </w:t>
      </w:r>
      <w:r w:rsidR="00FD6376">
        <w:rPr>
          <w:rFonts w:ascii="Times New Roman" w:hAnsi="Times New Roman" w:cs="Times New Roman"/>
        </w:rPr>
        <w:t>организации</w:t>
      </w:r>
      <w:r w:rsidRPr="00FD6376">
        <w:rPr>
          <w:rFonts w:ascii="Times New Roman" w:hAnsi="Times New Roman" w:cs="Times New Roman"/>
        </w:rPr>
        <w:t>, распределено по амортизационным группам c учетом срока его полезного использования. В табл. 1 приведены амортизационные группы, имеющиеся на предприятии, в которые объединяются амортизируемые основные средства.</w:t>
      </w:r>
    </w:p>
    <w:p w14:paraId="5917FE46" w14:textId="23FDD60C" w:rsidR="00FD6376" w:rsidRPr="00FD6376" w:rsidRDefault="00FD6376" w:rsidP="00FD6376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 – Распределение основных средств организации по амортизационным группам</w:t>
      </w:r>
    </w:p>
    <w:p w14:paraId="3FA8B38A" w14:textId="23EF1E83" w:rsidR="00D969C7" w:rsidRDefault="00D969C7" w:rsidP="00FD6376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D969C7">
        <w:rPr>
          <w:rFonts w:ascii="Times New Roman" w:hAnsi="Times New Roman" w:cs="Times New Roman"/>
          <w:noProof/>
        </w:rPr>
        <w:drawing>
          <wp:inline distT="0" distB="0" distL="0" distR="0" wp14:anchorId="27725751" wp14:editId="2A39D104">
            <wp:extent cx="5090615" cy="39824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05" t="6861" r="2882"/>
                    <a:stretch/>
                  </pic:blipFill>
                  <pic:spPr bwMode="auto">
                    <a:xfrm>
                      <a:off x="0" y="0"/>
                      <a:ext cx="5093461" cy="3984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577D1" w14:textId="3E124C2A" w:rsidR="00D969C7" w:rsidRDefault="00D969C7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F00CCC9" w14:textId="7BA61F83" w:rsidR="00D969C7" w:rsidRPr="004B680A" w:rsidRDefault="00FD6376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 w:rsidR="00D969C7" w:rsidRPr="004B680A">
        <w:rPr>
          <w:rFonts w:ascii="Times New Roman" w:hAnsi="Times New Roman" w:cs="Times New Roman"/>
        </w:rPr>
        <w:t xml:space="preserve"> в августе 2023 г. приобрел</w:t>
      </w:r>
      <w:r>
        <w:rPr>
          <w:rFonts w:ascii="Times New Roman" w:hAnsi="Times New Roman" w:cs="Times New Roman"/>
        </w:rPr>
        <w:t>а</w:t>
      </w:r>
      <w:r w:rsidR="00D969C7" w:rsidRPr="004B680A">
        <w:rPr>
          <w:rFonts w:ascii="Times New Roman" w:hAnsi="Times New Roman" w:cs="Times New Roman"/>
        </w:rPr>
        <w:t xml:space="preserve"> компьютер промышленного исполнения первоначальной стоимостью 14</w:t>
      </w:r>
      <w:r w:rsidR="0047387E">
        <w:rPr>
          <w:rFonts w:ascii="Times New Roman" w:hAnsi="Times New Roman" w:cs="Times New Roman"/>
        </w:rPr>
        <w:t>9</w:t>
      </w:r>
      <w:r w:rsidR="00D969C7" w:rsidRPr="004B680A">
        <w:rPr>
          <w:rFonts w:ascii="Times New Roman" w:hAnsi="Times New Roman" w:cs="Times New Roman"/>
        </w:rPr>
        <w:t xml:space="preserve"> 5</w:t>
      </w:r>
      <w:r w:rsidR="0047387E">
        <w:rPr>
          <w:rFonts w:ascii="Times New Roman" w:hAnsi="Times New Roman" w:cs="Times New Roman"/>
        </w:rPr>
        <w:t>29</w:t>
      </w:r>
      <w:r w:rsidR="00D969C7" w:rsidRPr="004B680A">
        <w:rPr>
          <w:rFonts w:ascii="Times New Roman" w:hAnsi="Times New Roman" w:cs="Times New Roman"/>
        </w:rPr>
        <w:t xml:space="preserve"> руб. (без учета НДС). Этот компьютер установлен и введен в эксплуатацию в этом же месяце. Срок полезного использования данного основного средства на основании его технических (заводских) характеристик установлен в размере 7 лет. Соответственно, годовая норма амортизации составит</w:t>
      </w:r>
      <w:r>
        <w:rPr>
          <w:rFonts w:ascii="Times New Roman" w:hAnsi="Times New Roman" w:cs="Times New Roman"/>
        </w:rPr>
        <w:t>:</w:t>
      </w:r>
    </w:p>
    <w:p w14:paraId="40FD9DBE" w14:textId="0B9EA22F" w:rsidR="00D969C7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FC09F24" w14:textId="77777777" w:rsidR="00FD6376" w:rsidRPr="004B680A" w:rsidRDefault="00FD6376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03CA6EED" w14:textId="6E353E29" w:rsidR="00D969C7" w:rsidRPr="004B680A" w:rsidRDefault="00FD6376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 w:rsidR="00D969C7" w:rsidRPr="004B680A">
        <w:rPr>
          <w:rFonts w:ascii="Times New Roman" w:hAnsi="Times New Roman" w:cs="Times New Roman"/>
        </w:rPr>
        <w:t xml:space="preserve"> не использует амортизационную премию.</w:t>
      </w:r>
    </w:p>
    <w:p w14:paraId="210E8810" w14:textId="3ADBD0BE" w:rsidR="00D969C7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B680A">
        <w:rPr>
          <w:rFonts w:ascii="Times New Roman" w:hAnsi="Times New Roman" w:cs="Times New Roman"/>
        </w:rPr>
        <w:t>Размер ежемесячной суммы амортизационных отчислений составляет:</w:t>
      </w:r>
    </w:p>
    <w:p w14:paraId="1DE3E57D" w14:textId="77777777" w:rsidR="004B680A" w:rsidRPr="004B680A" w:rsidRDefault="004B680A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B9B0D65" w14:textId="365DD839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93CD85A" w14:textId="6A24B873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B680A">
        <w:rPr>
          <w:rFonts w:ascii="Times New Roman" w:hAnsi="Times New Roman" w:cs="Times New Roman"/>
        </w:rPr>
        <w:t>Если срок полезного использования выражен в месяцах, то расчет ежемесячной суммы амортизации основного средства будет выглядеть следующим образом:</w:t>
      </w:r>
    </w:p>
    <w:p w14:paraId="1DC4FC01" w14:textId="29047F3E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C922EF0" w14:textId="40734903" w:rsidR="00D969C7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1C4E20A" w14:textId="77777777" w:rsidR="004B680A" w:rsidRPr="004B680A" w:rsidRDefault="004B680A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75166589" w14:textId="7079803C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B680A">
        <w:rPr>
          <w:rFonts w:ascii="Times New Roman" w:hAnsi="Times New Roman" w:cs="Times New Roman"/>
        </w:rPr>
        <w:t>Таким образом, ежемесячная сумма амортизационных отчислений в течение 7 лет составит:</w:t>
      </w:r>
    </w:p>
    <w:p w14:paraId="00397B28" w14:textId="38365CA9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188DA2E7" w14:textId="0CAF422D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A8A6C0D" w14:textId="4AE7A56E" w:rsidR="00D969C7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06E5ECB" w14:textId="6739BC02" w:rsid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B680A">
        <w:rPr>
          <w:rFonts w:ascii="Times New Roman" w:hAnsi="Times New Roman" w:cs="Times New Roman"/>
        </w:rPr>
        <w:t xml:space="preserve">На втором этапе анализа амортизационной политики выполняется анализ амортизационного ресурса </w:t>
      </w:r>
      <w:r w:rsidR="00FD6376">
        <w:rPr>
          <w:rFonts w:ascii="Times New Roman" w:hAnsi="Times New Roman" w:cs="Times New Roman"/>
        </w:rPr>
        <w:t>организации</w:t>
      </w:r>
      <w:r w:rsidRPr="004B680A">
        <w:rPr>
          <w:rFonts w:ascii="Times New Roman" w:hAnsi="Times New Roman" w:cs="Times New Roman"/>
        </w:rPr>
        <w:t xml:space="preserve">. Экономическое развитие предприятия требует своевременного обновления и </w:t>
      </w:r>
      <w:r w:rsidRPr="004B680A">
        <w:rPr>
          <w:rFonts w:ascii="Times New Roman" w:hAnsi="Times New Roman" w:cs="Times New Roman"/>
        </w:rPr>
        <w:lastRenderedPageBreak/>
        <w:t xml:space="preserve">модернизации основных средств, задействованных при производстве продукции. Предприятию необходимы финансовые ресурсы, чтобы своевременно производить замену морально или физически устаревшего оборудования. Одним из источников таких ресурсов служит амортизация основных средств, которая в определенных пропорциях регулярно включается в себестоимость проданной продукции. В этом случае говорят об амортизационном ресурсе. Анализ накопления амортизационного ресурса заключается в определении его объемов и источников путем исчисления амортизации основных средств. Анализ амортизационного ресурса и его структура </w:t>
      </w:r>
      <w:r w:rsidR="00FD6376">
        <w:rPr>
          <w:rFonts w:ascii="Times New Roman" w:hAnsi="Times New Roman" w:cs="Times New Roman"/>
        </w:rPr>
        <w:t>организации</w:t>
      </w:r>
      <w:r w:rsidRPr="004B680A">
        <w:rPr>
          <w:rFonts w:ascii="Times New Roman" w:hAnsi="Times New Roman" w:cs="Times New Roman"/>
        </w:rPr>
        <w:t xml:space="preserve"> за 20</w:t>
      </w:r>
      <w:r w:rsidR="004B680A" w:rsidRPr="004B680A">
        <w:rPr>
          <w:rFonts w:ascii="Times New Roman" w:hAnsi="Times New Roman" w:cs="Times New Roman"/>
        </w:rPr>
        <w:t>21</w:t>
      </w:r>
      <w:r w:rsidRPr="004B680A">
        <w:rPr>
          <w:rFonts w:ascii="Times New Roman" w:hAnsi="Times New Roman" w:cs="Times New Roman"/>
        </w:rPr>
        <w:t>–20</w:t>
      </w:r>
      <w:r w:rsidR="004B680A" w:rsidRPr="004B680A">
        <w:rPr>
          <w:rFonts w:ascii="Times New Roman" w:hAnsi="Times New Roman" w:cs="Times New Roman"/>
        </w:rPr>
        <w:t>23</w:t>
      </w:r>
      <w:r w:rsidRPr="004B680A">
        <w:rPr>
          <w:rFonts w:ascii="Times New Roman" w:hAnsi="Times New Roman" w:cs="Times New Roman"/>
        </w:rPr>
        <w:t xml:space="preserve"> гг. показан в табл. 2. </w:t>
      </w:r>
    </w:p>
    <w:p w14:paraId="49D63C80" w14:textId="77777777" w:rsidR="004B680A" w:rsidRPr="004B680A" w:rsidRDefault="004B680A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A5E3A36" w14:textId="5BFB8BEF" w:rsidR="00D969C7" w:rsidRPr="004B680A" w:rsidRDefault="00D969C7" w:rsidP="004B680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B680A">
        <w:rPr>
          <w:rFonts w:ascii="Times New Roman" w:hAnsi="Times New Roman" w:cs="Times New Roman"/>
        </w:rPr>
        <w:t>Таблица 2</w:t>
      </w:r>
      <w:r w:rsidR="004B680A" w:rsidRPr="004B680A">
        <w:rPr>
          <w:rFonts w:ascii="Times New Roman" w:hAnsi="Times New Roman" w:cs="Times New Roman"/>
        </w:rPr>
        <w:t xml:space="preserve"> - Анализ состава и структуры амортизационного ресурса </w:t>
      </w:r>
      <w:r w:rsidR="00FD6376">
        <w:rPr>
          <w:rFonts w:ascii="Times New Roman" w:hAnsi="Times New Roman" w:cs="Times New Roman"/>
        </w:rPr>
        <w:t>организации</w:t>
      </w:r>
      <w:r w:rsidR="004B680A" w:rsidRPr="004B680A">
        <w:rPr>
          <w:rFonts w:ascii="Times New Roman" w:hAnsi="Times New Roman" w:cs="Times New Roman"/>
        </w:rPr>
        <w:t xml:space="preserve"> за 2021–2023 гг.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27"/>
        <w:gridCol w:w="1547"/>
        <w:gridCol w:w="1542"/>
        <w:gridCol w:w="1543"/>
        <w:gridCol w:w="1543"/>
        <w:gridCol w:w="1543"/>
      </w:tblGrid>
      <w:tr w:rsidR="004B680A" w:rsidRPr="004B680A" w14:paraId="43B4AE5C" w14:textId="77777777" w:rsidTr="004B680A">
        <w:trPr>
          <w:jc w:val="center"/>
        </w:trPr>
        <w:tc>
          <w:tcPr>
            <w:tcW w:w="1627" w:type="dxa"/>
            <w:vAlign w:val="center"/>
          </w:tcPr>
          <w:p w14:paraId="46F47A74" w14:textId="420AB36E" w:rsidR="004B680A" w:rsidRPr="004B680A" w:rsidRDefault="004B680A" w:rsidP="004B680A">
            <w:pPr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47" w:type="dxa"/>
            <w:vAlign w:val="center"/>
          </w:tcPr>
          <w:p w14:paraId="7E4302F9" w14:textId="77777777" w:rsid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 xml:space="preserve">2021 г., </w:t>
            </w:r>
          </w:p>
          <w:p w14:paraId="2C0A9ADE" w14:textId="02652B83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42" w:type="dxa"/>
            <w:vAlign w:val="center"/>
          </w:tcPr>
          <w:p w14:paraId="0D022278" w14:textId="77777777" w:rsid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 xml:space="preserve">2022 г., </w:t>
            </w:r>
          </w:p>
          <w:p w14:paraId="2DE4119D" w14:textId="6BD6081D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43" w:type="dxa"/>
            <w:vAlign w:val="center"/>
          </w:tcPr>
          <w:p w14:paraId="2D4BAE50" w14:textId="77777777" w:rsid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 xml:space="preserve">2023 г., </w:t>
            </w:r>
          </w:p>
          <w:p w14:paraId="21847B25" w14:textId="25F118A8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43" w:type="dxa"/>
            <w:vAlign w:val="center"/>
          </w:tcPr>
          <w:p w14:paraId="7274FC60" w14:textId="2CC7A72D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Изменения за 2021-2023 гг., тыс. руб.</w:t>
            </w:r>
          </w:p>
        </w:tc>
        <w:tc>
          <w:tcPr>
            <w:tcW w:w="1543" w:type="dxa"/>
            <w:vAlign w:val="center"/>
          </w:tcPr>
          <w:p w14:paraId="0D02E916" w14:textId="460AE2C2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Темпы роста за 2021-2023 гг., %</w:t>
            </w:r>
          </w:p>
        </w:tc>
      </w:tr>
      <w:tr w:rsidR="004B680A" w:rsidRPr="004B680A" w14:paraId="4E97DD19" w14:textId="77777777" w:rsidTr="004B680A">
        <w:trPr>
          <w:jc w:val="center"/>
        </w:trPr>
        <w:tc>
          <w:tcPr>
            <w:tcW w:w="1627" w:type="dxa"/>
            <w:vAlign w:val="center"/>
          </w:tcPr>
          <w:p w14:paraId="0591D033" w14:textId="52411A19" w:rsidR="004B680A" w:rsidRPr="004B680A" w:rsidRDefault="004B680A" w:rsidP="004B680A">
            <w:pPr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Амортизация основных средств всего, в том числе</w:t>
            </w:r>
          </w:p>
        </w:tc>
        <w:tc>
          <w:tcPr>
            <w:tcW w:w="1547" w:type="dxa"/>
            <w:vAlign w:val="center"/>
          </w:tcPr>
          <w:p w14:paraId="45ECE0A9" w14:textId="403EF9E3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133752</w:t>
            </w:r>
          </w:p>
        </w:tc>
        <w:tc>
          <w:tcPr>
            <w:tcW w:w="1542" w:type="dxa"/>
            <w:vAlign w:val="center"/>
          </w:tcPr>
          <w:p w14:paraId="2B738CB6" w14:textId="243315FF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161431</w:t>
            </w:r>
          </w:p>
        </w:tc>
        <w:tc>
          <w:tcPr>
            <w:tcW w:w="1543" w:type="dxa"/>
            <w:vAlign w:val="center"/>
          </w:tcPr>
          <w:p w14:paraId="0AE9E961" w14:textId="0B09CF98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199704</w:t>
            </w:r>
          </w:p>
        </w:tc>
        <w:tc>
          <w:tcPr>
            <w:tcW w:w="1543" w:type="dxa"/>
            <w:vAlign w:val="center"/>
          </w:tcPr>
          <w:p w14:paraId="4AAAD7C0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1723AC5B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80A" w:rsidRPr="004B680A" w14:paraId="3381D7AC" w14:textId="77777777" w:rsidTr="004B680A">
        <w:trPr>
          <w:jc w:val="center"/>
        </w:trPr>
        <w:tc>
          <w:tcPr>
            <w:tcW w:w="1627" w:type="dxa"/>
            <w:vAlign w:val="center"/>
          </w:tcPr>
          <w:p w14:paraId="3309F135" w14:textId="64EB642A" w:rsidR="004B680A" w:rsidRPr="004B680A" w:rsidRDefault="004B680A" w:rsidP="004B680A">
            <w:pPr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Зданий, сооружений</w:t>
            </w:r>
          </w:p>
        </w:tc>
        <w:tc>
          <w:tcPr>
            <w:tcW w:w="1547" w:type="dxa"/>
            <w:vAlign w:val="center"/>
          </w:tcPr>
          <w:p w14:paraId="1F775207" w14:textId="71EF28F1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15995</w:t>
            </w:r>
          </w:p>
        </w:tc>
        <w:tc>
          <w:tcPr>
            <w:tcW w:w="1542" w:type="dxa"/>
            <w:vAlign w:val="center"/>
          </w:tcPr>
          <w:p w14:paraId="3F928CDE" w14:textId="29976028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33532</w:t>
            </w:r>
          </w:p>
        </w:tc>
        <w:tc>
          <w:tcPr>
            <w:tcW w:w="1543" w:type="dxa"/>
            <w:vAlign w:val="center"/>
          </w:tcPr>
          <w:p w14:paraId="7432EE92" w14:textId="47602BEF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58061</w:t>
            </w:r>
          </w:p>
        </w:tc>
        <w:tc>
          <w:tcPr>
            <w:tcW w:w="1543" w:type="dxa"/>
            <w:vAlign w:val="center"/>
          </w:tcPr>
          <w:p w14:paraId="60F753A5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0B50BD7B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80A" w:rsidRPr="004B680A" w14:paraId="3E014CEE" w14:textId="77777777" w:rsidTr="004B680A">
        <w:trPr>
          <w:jc w:val="center"/>
        </w:trPr>
        <w:tc>
          <w:tcPr>
            <w:tcW w:w="1627" w:type="dxa"/>
            <w:vAlign w:val="center"/>
          </w:tcPr>
          <w:p w14:paraId="173BBFF9" w14:textId="7904FC7C" w:rsidR="004B680A" w:rsidRPr="004B680A" w:rsidRDefault="004B680A" w:rsidP="004B680A">
            <w:pPr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Машин, оборудования, транспортных средств</w:t>
            </w:r>
          </w:p>
        </w:tc>
        <w:tc>
          <w:tcPr>
            <w:tcW w:w="1547" w:type="dxa"/>
            <w:vAlign w:val="center"/>
          </w:tcPr>
          <w:p w14:paraId="6A4068CE" w14:textId="427DB902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107331</w:t>
            </w:r>
          </w:p>
        </w:tc>
        <w:tc>
          <w:tcPr>
            <w:tcW w:w="1542" w:type="dxa"/>
            <w:vAlign w:val="center"/>
          </w:tcPr>
          <w:p w14:paraId="44018D43" w14:textId="74C02D4F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126888</w:t>
            </w:r>
          </w:p>
        </w:tc>
        <w:tc>
          <w:tcPr>
            <w:tcW w:w="1543" w:type="dxa"/>
            <w:vAlign w:val="center"/>
          </w:tcPr>
          <w:p w14:paraId="0A9528CC" w14:textId="03E98BF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140209</w:t>
            </w:r>
          </w:p>
        </w:tc>
        <w:tc>
          <w:tcPr>
            <w:tcW w:w="1543" w:type="dxa"/>
            <w:vAlign w:val="center"/>
          </w:tcPr>
          <w:p w14:paraId="174ACB57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B67890C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80A" w:rsidRPr="004B680A" w14:paraId="2FE5D0A8" w14:textId="77777777" w:rsidTr="004B680A">
        <w:trPr>
          <w:jc w:val="center"/>
        </w:trPr>
        <w:tc>
          <w:tcPr>
            <w:tcW w:w="1627" w:type="dxa"/>
            <w:vAlign w:val="center"/>
          </w:tcPr>
          <w:p w14:paraId="52F10972" w14:textId="2F1BB250" w:rsidR="004B680A" w:rsidRPr="004B680A" w:rsidRDefault="004B680A" w:rsidP="004B680A">
            <w:pPr>
              <w:rPr>
                <w:rFonts w:ascii="Times New Roman" w:hAnsi="Times New Roman" w:cs="Times New Roman"/>
              </w:rPr>
            </w:pPr>
            <w:r w:rsidRPr="004B680A">
              <w:rPr>
                <w:rFonts w:ascii="Times New Roman" w:hAnsi="Times New Roman" w:cs="Times New Roman"/>
              </w:rPr>
              <w:t>Других основных средств</w:t>
            </w:r>
          </w:p>
        </w:tc>
        <w:tc>
          <w:tcPr>
            <w:tcW w:w="1547" w:type="dxa"/>
            <w:vAlign w:val="center"/>
          </w:tcPr>
          <w:p w14:paraId="04044318" w14:textId="3FA69E2B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10426</w:t>
            </w:r>
          </w:p>
        </w:tc>
        <w:tc>
          <w:tcPr>
            <w:tcW w:w="1542" w:type="dxa"/>
            <w:vAlign w:val="center"/>
          </w:tcPr>
          <w:p w14:paraId="328E99AE" w14:textId="25A54F6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543" w:type="dxa"/>
            <w:vAlign w:val="center"/>
          </w:tcPr>
          <w:p w14:paraId="23AA7743" w14:textId="395A939E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543" w:type="dxa"/>
            <w:vAlign w:val="center"/>
          </w:tcPr>
          <w:p w14:paraId="5DAE1104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CFB1D2" w14:textId="77777777" w:rsidR="004B680A" w:rsidRPr="004B680A" w:rsidRDefault="004B680A" w:rsidP="004B6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211A10" w14:textId="2DF19F98" w:rsidR="004B680A" w:rsidRDefault="004B680A" w:rsidP="00D969C7">
      <w:pPr>
        <w:spacing w:after="0"/>
        <w:ind w:firstLine="426"/>
      </w:pPr>
    </w:p>
    <w:p w14:paraId="29846482" w14:textId="5710A458" w:rsidR="004B680A" w:rsidRDefault="004B680A" w:rsidP="00D969C7">
      <w:pPr>
        <w:spacing w:after="0"/>
        <w:ind w:firstLine="426"/>
      </w:pPr>
    </w:p>
    <w:p w14:paraId="347DAAFF" w14:textId="5415C91C" w:rsidR="004B680A" w:rsidRDefault="004B680A" w:rsidP="00D969C7">
      <w:pPr>
        <w:spacing w:after="0"/>
        <w:ind w:firstLine="426"/>
      </w:pPr>
    </w:p>
    <w:p w14:paraId="62D11428" w14:textId="09FF2C55" w:rsidR="004B680A" w:rsidRDefault="004B680A" w:rsidP="00D969C7">
      <w:pPr>
        <w:spacing w:after="0"/>
        <w:ind w:firstLine="426"/>
      </w:pPr>
    </w:p>
    <w:p w14:paraId="1D547EA4" w14:textId="77262A89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0E3AC6AE" w14:textId="0C815696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8E36DB1" w14:textId="27F40EC9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8E80A5D" w14:textId="58E2675A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00A3D22C" w14:textId="27C299BC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F907A2B" w14:textId="14ABA3CB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7B76EA7" w14:textId="731CB037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2EA12CFC" w14:textId="784794E3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D27C465" w14:textId="29A64151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A24862F" w14:textId="163C970A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2D7B0591" w14:textId="63916896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C662552" w14:textId="55B2AB08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2582F7E" w14:textId="4C22C998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D9C975F" w14:textId="2B67F878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EB3EF3B" w14:textId="67ED89E4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ECFD968" w14:textId="26D41BA3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3235002D" w14:textId="36548E86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4EC6BCA" w14:textId="5CF01EAA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02D54A63" w14:textId="4B935749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E886283" w14:textId="01382804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263CEA2" w14:textId="29FB0B00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3B5C717" w14:textId="24A7A925" w:rsidR="0048784E" w:rsidRDefault="004B680A" w:rsidP="0048784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8784E">
        <w:rPr>
          <w:rFonts w:ascii="Times New Roman" w:hAnsi="Times New Roman" w:cs="Times New Roman"/>
        </w:rPr>
        <w:t xml:space="preserve">Далее проводится анализ использования амортизационного ресурса на предприятии. Для этого следует определить основные направления расхода амортизационного ресурса. Расход </w:t>
      </w:r>
      <w:r w:rsidRPr="0048784E">
        <w:rPr>
          <w:rFonts w:ascii="Times New Roman" w:hAnsi="Times New Roman" w:cs="Times New Roman"/>
        </w:rPr>
        <w:lastRenderedPageBreak/>
        <w:t xml:space="preserve">накопленных амортизационных отчислений на предприятии происходит по таким направлениям, как модернизация действующего оборудования или его реконструкция, дооборудование либо достройка установленных основных машин и оборудования, приобретение новых объектов основных средств. В табл. 3 приведен анализ направлений расхода амортизационного ресурса в </w:t>
      </w:r>
      <w:r w:rsidR="00FD6376">
        <w:rPr>
          <w:rFonts w:ascii="Times New Roman" w:hAnsi="Times New Roman" w:cs="Times New Roman"/>
        </w:rPr>
        <w:t>организации</w:t>
      </w:r>
      <w:r w:rsidRPr="0048784E">
        <w:rPr>
          <w:rFonts w:ascii="Times New Roman" w:hAnsi="Times New Roman" w:cs="Times New Roman"/>
        </w:rPr>
        <w:t xml:space="preserve"> за период с 20</w:t>
      </w:r>
      <w:r w:rsidR="0048784E">
        <w:rPr>
          <w:rFonts w:ascii="Times New Roman" w:hAnsi="Times New Roman" w:cs="Times New Roman"/>
        </w:rPr>
        <w:t>21</w:t>
      </w:r>
      <w:r w:rsidRPr="0048784E">
        <w:rPr>
          <w:rFonts w:ascii="Times New Roman" w:hAnsi="Times New Roman" w:cs="Times New Roman"/>
        </w:rPr>
        <w:t xml:space="preserve"> по 20</w:t>
      </w:r>
      <w:r w:rsidR="0048784E">
        <w:rPr>
          <w:rFonts w:ascii="Times New Roman" w:hAnsi="Times New Roman" w:cs="Times New Roman"/>
        </w:rPr>
        <w:t>23</w:t>
      </w:r>
      <w:r w:rsidRPr="0048784E">
        <w:rPr>
          <w:rFonts w:ascii="Times New Roman" w:hAnsi="Times New Roman" w:cs="Times New Roman"/>
        </w:rPr>
        <w:t xml:space="preserve"> г.</w:t>
      </w:r>
    </w:p>
    <w:p w14:paraId="3056DD12" w14:textId="77777777" w:rsidR="0048784E" w:rsidRDefault="0048784E" w:rsidP="0048784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F8BDDF8" w14:textId="4DEB0020" w:rsidR="004B680A" w:rsidRPr="0048784E" w:rsidRDefault="004B680A" w:rsidP="0048784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8784E">
        <w:rPr>
          <w:rFonts w:ascii="Times New Roman" w:hAnsi="Times New Roman" w:cs="Times New Roman"/>
        </w:rPr>
        <w:t xml:space="preserve"> Таблица 3 </w:t>
      </w:r>
      <w:r w:rsidR="0048784E">
        <w:rPr>
          <w:rFonts w:ascii="Times New Roman" w:hAnsi="Times New Roman" w:cs="Times New Roman"/>
        </w:rPr>
        <w:t xml:space="preserve">- </w:t>
      </w:r>
      <w:r w:rsidRPr="0048784E">
        <w:rPr>
          <w:rFonts w:ascii="Times New Roman" w:hAnsi="Times New Roman" w:cs="Times New Roman"/>
        </w:rPr>
        <w:t xml:space="preserve">Направления использования амортизационного ресурса в </w:t>
      </w:r>
      <w:r w:rsidR="00FD6376">
        <w:rPr>
          <w:rFonts w:ascii="Times New Roman" w:hAnsi="Times New Roman" w:cs="Times New Roman"/>
        </w:rPr>
        <w:t>организации</w:t>
      </w:r>
      <w:r w:rsidRPr="0048784E">
        <w:rPr>
          <w:rFonts w:ascii="Times New Roman" w:hAnsi="Times New Roman" w:cs="Times New Roman"/>
        </w:rPr>
        <w:t xml:space="preserve"> за 20</w:t>
      </w:r>
      <w:r w:rsidR="0048784E">
        <w:rPr>
          <w:rFonts w:ascii="Times New Roman" w:hAnsi="Times New Roman" w:cs="Times New Roman"/>
        </w:rPr>
        <w:t>21</w:t>
      </w:r>
      <w:r w:rsidRPr="0048784E">
        <w:rPr>
          <w:rFonts w:ascii="Times New Roman" w:hAnsi="Times New Roman" w:cs="Times New Roman"/>
        </w:rPr>
        <w:t>–20</w:t>
      </w:r>
      <w:r w:rsidR="0048784E">
        <w:rPr>
          <w:rFonts w:ascii="Times New Roman" w:hAnsi="Times New Roman" w:cs="Times New Roman"/>
        </w:rPr>
        <w:t>23</w:t>
      </w:r>
      <w:r w:rsidRPr="0048784E">
        <w:rPr>
          <w:rFonts w:ascii="Times New Roman" w:hAnsi="Times New Roman" w:cs="Times New Roman"/>
        </w:rPr>
        <w:t xml:space="preserve"> гг.</w:t>
      </w:r>
    </w:p>
    <w:p w14:paraId="6FAA1EDB" w14:textId="6C6EA5B3" w:rsidR="0048784E" w:rsidRDefault="0048784E" w:rsidP="0048784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BD7C4D4" w14:textId="4FA6DC25" w:rsidR="0048784E" w:rsidRDefault="0048784E" w:rsidP="0048784E">
      <w:pPr>
        <w:spacing w:after="0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970"/>
        <w:gridCol w:w="883"/>
        <w:gridCol w:w="971"/>
        <w:gridCol w:w="884"/>
        <w:gridCol w:w="971"/>
        <w:gridCol w:w="885"/>
        <w:gridCol w:w="913"/>
        <w:gridCol w:w="888"/>
      </w:tblGrid>
      <w:tr w:rsidR="0048784E" w14:paraId="69AB7508" w14:textId="77777777" w:rsidTr="00FD6376">
        <w:tc>
          <w:tcPr>
            <w:tcW w:w="1278" w:type="dxa"/>
            <w:vMerge w:val="restart"/>
            <w:vAlign w:val="center"/>
          </w:tcPr>
          <w:p w14:paraId="6721A27E" w14:textId="72456EF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016" w:type="dxa"/>
            <w:gridSpan w:val="2"/>
            <w:vAlign w:val="center"/>
          </w:tcPr>
          <w:p w14:paraId="5A29FA48" w14:textId="684965FB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2016" w:type="dxa"/>
            <w:gridSpan w:val="2"/>
            <w:vAlign w:val="center"/>
          </w:tcPr>
          <w:p w14:paraId="42D8F0F0" w14:textId="10DF281F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</w:t>
            </w:r>
          </w:p>
        </w:tc>
        <w:tc>
          <w:tcPr>
            <w:tcW w:w="2017" w:type="dxa"/>
            <w:gridSpan w:val="2"/>
            <w:vAlign w:val="center"/>
          </w:tcPr>
          <w:p w14:paraId="7234459D" w14:textId="32B9E02C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2018" w:type="dxa"/>
            <w:gridSpan w:val="2"/>
            <w:vAlign w:val="center"/>
          </w:tcPr>
          <w:p w14:paraId="20A80A9A" w14:textId="6A58C5A5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за 2021-2023 гг.</w:t>
            </w:r>
          </w:p>
        </w:tc>
      </w:tr>
      <w:tr w:rsidR="0048784E" w14:paraId="7139F028" w14:textId="77777777" w:rsidTr="00FD6376">
        <w:tc>
          <w:tcPr>
            <w:tcW w:w="1278" w:type="dxa"/>
            <w:vMerge/>
            <w:vAlign w:val="center"/>
          </w:tcPr>
          <w:p w14:paraId="71B5B1DC" w14:textId="77777777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62752BB9" w14:textId="6D0D453C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8" w:type="dxa"/>
            <w:vAlign w:val="center"/>
          </w:tcPr>
          <w:p w14:paraId="441B3A23" w14:textId="13BC6AB8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1008" w:type="dxa"/>
            <w:vAlign w:val="center"/>
          </w:tcPr>
          <w:p w14:paraId="63923A10" w14:textId="3CEBC1F0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8" w:type="dxa"/>
            <w:vAlign w:val="center"/>
          </w:tcPr>
          <w:p w14:paraId="7BCA607C" w14:textId="3B7BDC32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1008" w:type="dxa"/>
            <w:vAlign w:val="center"/>
          </w:tcPr>
          <w:p w14:paraId="1DE46BBC" w14:textId="329441C1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9" w:type="dxa"/>
            <w:vAlign w:val="center"/>
          </w:tcPr>
          <w:p w14:paraId="5F05DA58" w14:textId="7CAB522A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 вес, %</w:t>
            </w:r>
          </w:p>
        </w:tc>
        <w:tc>
          <w:tcPr>
            <w:tcW w:w="1009" w:type="dxa"/>
            <w:vAlign w:val="center"/>
          </w:tcPr>
          <w:p w14:paraId="7E965402" w14:textId="51DC95E2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09" w:type="dxa"/>
            <w:vAlign w:val="center"/>
          </w:tcPr>
          <w:p w14:paraId="6821BC19" w14:textId="166EF02C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 вес, %</w:t>
            </w:r>
          </w:p>
        </w:tc>
      </w:tr>
      <w:tr w:rsidR="0048784E" w14:paraId="1F14F524" w14:textId="77777777" w:rsidTr="00FD6376">
        <w:tc>
          <w:tcPr>
            <w:tcW w:w="1278" w:type="dxa"/>
            <w:vAlign w:val="center"/>
          </w:tcPr>
          <w:p w14:paraId="56BF3002" w14:textId="398255CD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Амортизационный ресурс-всего</w:t>
            </w:r>
          </w:p>
        </w:tc>
        <w:tc>
          <w:tcPr>
            <w:tcW w:w="1008" w:type="dxa"/>
            <w:vAlign w:val="center"/>
          </w:tcPr>
          <w:p w14:paraId="7FA191C4" w14:textId="51FE2111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133752</w:t>
            </w:r>
          </w:p>
        </w:tc>
        <w:tc>
          <w:tcPr>
            <w:tcW w:w="1008" w:type="dxa"/>
            <w:vAlign w:val="center"/>
          </w:tcPr>
          <w:p w14:paraId="7462129F" w14:textId="05820D70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vAlign w:val="center"/>
          </w:tcPr>
          <w:p w14:paraId="717158DE" w14:textId="4105D511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161431</w:t>
            </w:r>
          </w:p>
        </w:tc>
        <w:tc>
          <w:tcPr>
            <w:tcW w:w="1008" w:type="dxa"/>
            <w:vAlign w:val="center"/>
          </w:tcPr>
          <w:p w14:paraId="246B2746" w14:textId="694A311D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vAlign w:val="center"/>
          </w:tcPr>
          <w:p w14:paraId="3DCE6E30" w14:textId="4055210A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199704</w:t>
            </w:r>
          </w:p>
        </w:tc>
        <w:tc>
          <w:tcPr>
            <w:tcW w:w="1009" w:type="dxa"/>
            <w:vAlign w:val="center"/>
          </w:tcPr>
          <w:p w14:paraId="33660566" w14:textId="5E4B24E9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vAlign w:val="center"/>
          </w:tcPr>
          <w:p w14:paraId="6BE9EB59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7F6B89C" w14:textId="03D3F6C2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784E" w14:paraId="52E46094" w14:textId="77777777" w:rsidTr="00FD6376">
        <w:tc>
          <w:tcPr>
            <w:tcW w:w="1278" w:type="dxa"/>
            <w:vAlign w:val="center"/>
          </w:tcPr>
          <w:p w14:paraId="020D2FF6" w14:textId="37F06A68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Использовано средств амортизационного ресурса, всего, в т.ч.</w:t>
            </w:r>
          </w:p>
        </w:tc>
        <w:tc>
          <w:tcPr>
            <w:tcW w:w="1008" w:type="dxa"/>
            <w:vAlign w:val="center"/>
          </w:tcPr>
          <w:p w14:paraId="4EF5A797" w14:textId="3A551375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129062</w:t>
            </w:r>
          </w:p>
        </w:tc>
        <w:tc>
          <w:tcPr>
            <w:tcW w:w="1008" w:type="dxa"/>
            <w:vAlign w:val="center"/>
          </w:tcPr>
          <w:p w14:paraId="412B20AD" w14:textId="5D13E803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8" w:type="dxa"/>
            <w:vAlign w:val="center"/>
          </w:tcPr>
          <w:p w14:paraId="2E916F01" w14:textId="3E4F5BD0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161431</w:t>
            </w:r>
          </w:p>
        </w:tc>
        <w:tc>
          <w:tcPr>
            <w:tcW w:w="1008" w:type="dxa"/>
            <w:vAlign w:val="center"/>
          </w:tcPr>
          <w:p w14:paraId="1C5C5142" w14:textId="33DF7AF6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8" w:type="dxa"/>
            <w:vAlign w:val="center"/>
          </w:tcPr>
          <w:p w14:paraId="1CA606ED" w14:textId="2F3ABEF6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199704</w:t>
            </w:r>
          </w:p>
        </w:tc>
        <w:tc>
          <w:tcPr>
            <w:tcW w:w="1009" w:type="dxa"/>
            <w:vAlign w:val="center"/>
          </w:tcPr>
          <w:p w14:paraId="2864838C" w14:textId="2D601972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9" w:type="dxa"/>
            <w:vAlign w:val="center"/>
          </w:tcPr>
          <w:p w14:paraId="33175658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2158488F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84E" w14:paraId="5DBF0E98" w14:textId="77777777" w:rsidTr="00FD6376">
        <w:tc>
          <w:tcPr>
            <w:tcW w:w="1278" w:type="dxa"/>
            <w:vAlign w:val="center"/>
          </w:tcPr>
          <w:p w14:paraId="1E59E44F" w14:textId="7BD206F5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приобретение новых ОС</w:t>
            </w:r>
          </w:p>
        </w:tc>
        <w:tc>
          <w:tcPr>
            <w:tcW w:w="1008" w:type="dxa"/>
            <w:vAlign w:val="center"/>
          </w:tcPr>
          <w:p w14:paraId="79987CAB" w14:textId="09B0A60C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98760</w:t>
            </w:r>
          </w:p>
        </w:tc>
        <w:tc>
          <w:tcPr>
            <w:tcW w:w="1008" w:type="dxa"/>
            <w:vAlign w:val="center"/>
          </w:tcPr>
          <w:p w14:paraId="69F3A162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428310C8" w14:textId="23099A78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125114</w:t>
            </w:r>
          </w:p>
        </w:tc>
        <w:tc>
          <w:tcPr>
            <w:tcW w:w="1008" w:type="dxa"/>
            <w:vAlign w:val="center"/>
          </w:tcPr>
          <w:p w14:paraId="39279CE0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3FBA1D82" w14:textId="6D5215C4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149529</w:t>
            </w:r>
          </w:p>
        </w:tc>
        <w:tc>
          <w:tcPr>
            <w:tcW w:w="1009" w:type="dxa"/>
            <w:vAlign w:val="center"/>
          </w:tcPr>
          <w:p w14:paraId="620ADFCA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563820DF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4251F8B5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84E" w14:paraId="27EEE1F0" w14:textId="77777777" w:rsidTr="00FD6376">
        <w:tc>
          <w:tcPr>
            <w:tcW w:w="1278" w:type="dxa"/>
            <w:vAlign w:val="center"/>
          </w:tcPr>
          <w:p w14:paraId="059FCB11" w14:textId="67C47012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модернизацию действующего оборудования</w:t>
            </w:r>
          </w:p>
        </w:tc>
        <w:tc>
          <w:tcPr>
            <w:tcW w:w="1008" w:type="dxa"/>
            <w:vAlign w:val="center"/>
          </w:tcPr>
          <w:p w14:paraId="5E3E0997" w14:textId="21D0C8E1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25602</w:t>
            </w:r>
          </w:p>
        </w:tc>
        <w:tc>
          <w:tcPr>
            <w:tcW w:w="1008" w:type="dxa"/>
            <w:vAlign w:val="center"/>
          </w:tcPr>
          <w:p w14:paraId="0D02CB76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3F442D08" w14:textId="26E5304C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27400</w:t>
            </w:r>
          </w:p>
        </w:tc>
        <w:tc>
          <w:tcPr>
            <w:tcW w:w="1008" w:type="dxa"/>
            <w:vAlign w:val="center"/>
          </w:tcPr>
          <w:p w14:paraId="35806A77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1A8139EA" w14:textId="678DA040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34300</w:t>
            </w:r>
          </w:p>
        </w:tc>
        <w:tc>
          <w:tcPr>
            <w:tcW w:w="1009" w:type="dxa"/>
            <w:vAlign w:val="center"/>
          </w:tcPr>
          <w:p w14:paraId="6A9781F3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51612D1B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180C38E2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84E" w14:paraId="3F52D191" w14:textId="77777777" w:rsidTr="00FD6376">
        <w:tc>
          <w:tcPr>
            <w:tcW w:w="1278" w:type="dxa"/>
            <w:vAlign w:val="center"/>
          </w:tcPr>
          <w:p w14:paraId="125E71A2" w14:textId="02BE7569" w:rsidR="0048784E" w:rsidRDefault="0048784E" w:rsidP="00487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Дооборудование действующих ОС</w:t>
            </w:r>
          </w:p>
        </w:tc>
        <w:tc>
          <w:tcPr>
            <w:tcW w:w="1008" w:type="dxa"/>
            <w:vAlign w:val="center"/>
          </w:tcPr>
          <w:p w14:paraId="4C3A053B" w14:textId="31A90F9D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008" w:type="dxa"/>
            <w:vAlign w:val="center"/>
          </w:tcPr>
          <w:p w14:paraId="68E776CE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12C5BCE4" w14:textId="028E3E89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</w:t>
            </w:r>
          </w:p>
        </w:tc>
        <w:tc>
          <w:tcPr>
            <w:tcW w:w="1008" w:type="dxa"/>
            <w:vAlign w:val="center"/>
          </w:tcPr>
          <w:p w14:paraId="46EC3A90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6F8F87F1" w14:textId="34EA7703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15875</w:t>
            </w:r>
          </w:p>
        </w:tc>
        <w:tc>
          <w:tcPr>
            <w:tcW w:w="1009" w:type="dxa"/>
            <w:vAlign w:val="center"/>
          </w:tcPr>
          <w:p w14:paraId="705F1C63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0BD0FB47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Align w:val="center"/>
          </w:tcPr>
          <w:p w14:paraId="6B448943" w14:textId="77777777" w:rsidR="0048784E" w:rsidRDefault="0048784E" w:rsidP="00FD6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585D45" w14:textId="77777777" w:rsidR="0048784E" w:rsidRPr="0048784E" w:rsidRDefault="0048784E" w:rsidP="0048784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CAFAD15" w14:textId="0E3D1AE4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393CDE9D" w14:textId="6F350885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094CE33" w14:textId="47B76C58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62C4426F" w14:textId="1E358DB1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07899253" w14:textId="593D455D" w:rsidR="004B680A" w:rsidRDefault="004B680A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E9AE4E4" w14:textId="5FB76C81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ACA6CF4" w14:textId="62C2892E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C15A0EC" w14:textId="44CB5733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7DD14B8" w14:textId="0770C4D8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0C3C3876" w14:textId="7D4EBDDC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0D6AD90" w14:textId="56CD44E7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BD938B9" w14:textId="7761CCC6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7DF9B147" w14:textId="6F12D99D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13360BC" w14:textId="6B12DA25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D47B314" w14:textId="52ADE6FF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7483B194" w14:textId="7B407F03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745586DB" w14:textId="102367A3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394B973B" w14:textId="23F5830F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CB19B03" w14:textId="64947D48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2F972007" w14:textId="53B48375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F241451" w14:textId="362C4816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BD6339B" w14:textId="4386A351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1F342462" w14:textId="2E6481CB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3478A5EB" w14:textId="77777777" w:rsidR="0047387E" w:rsidRDefault="0047387E" w:rsidP="0047387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 xml:space="preserve">На третьем этапе анализа амортизационной политики проведем анализ финансового покрытия износа ОС, который целесообразно представить, используя абсолютные и </w:t>
      </w:r>
      <w:r w:rsidRPr="0047387E">
        <w:rPr>
          <w:rFonts w:ascii="Times New Roman" w:hAnsi="Times New Roman" w:cs="Times New Roman"/>
          <w:sz w:val="24"/>
          <w:szCs w:val="24"/>
        </w:rPr>
        <w:lastRenderedPageBreak/>
        <w:t xml:space="preserve">относительные коэффициенты. По мнению Н. Н. </w:t>
      </w:r>
      <w:proofErr w:type="spellStart"/>
      <w:r w:rsidRPr="0047387E">
        <w:rPr>
          <w:rFonts w:ascii="Times New Roman" w:hAnsi="Times New Roman" w:cs="Times New Roman"/>
          <w:sz w:val="24"/>
          <w:szCs w:val="24"/>
        </w:rPr>
        <w:t>Бартковой</w:t>
      </w:r>
      <w:proofErr w:type="spellEnd"/>
      <w:r w:rsidRPr="0047387E">
        <w:rPr>
          <w:rFonts w:ascii="Times New Roman" w:hAnsi="Times New Roman" w:cs="Times New Roman"/>
          <w:sz w:val="24"/>
          <w:szCs w:val="24"/>
        </w:rPr>
        <w:t xml:space="preserve"> и Н. Н. </w:t>
      </w:r>
      <w:proofErr w:type="spellStart"/>
      <w:r w:rsidRPr="0047387E">
        <w:rPr>
          <w:rFonts w:ascii="Times New Roman" w:hAnsi="Times New Roman" w:cs="Times New Roman"/>
          <w:sz w:val="24"/>
          <w:szCs w:val="24"/>
        </w:rPr>
        <w:t>Крупиной</w:t>
      </w:r>
      <w:proofErr w:type="spellEnd"/>
      <w:r w:rsidRPr="0047387E">
        <w:rPr>
          <w:rFonts w:ascii="Times New Roman" w:hAnsi="Times New Roman" w:cs="Times New Roman"/>
          <w:sz w:val="24"/>
          <w:szCs w:val="24"/>
        </w:rPr>
        <w:t xml:space="preserve">, «абсолютным обобщающим показателем финансового покрытия износа служит соответствие или несоответствие источников ресурсов для воспроизводства основных средств. Этот показатель рассчитывается как разница между фактической величиной источников средств и стоимостью изношенных основных средств». </w:t>
      </w:r>
    </w:p>
    <w:p w14:paraId="0994BBD0" w14:textId="77777777" w:rsidR="0047387E" w:rsidRDefault="0047387E" w:rsidP="007A769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7387E">
        <w:rPr>
          <w:rFonts w:ascii="Times New Roman" w:hAnsi="Times New Roman" w:cs="Times New Roman"/>
          <w:sz w:val="24"/>
          <w:szCs w:val="24"/>
        </w:rPr>
        <w:t xml:space="preserve">а предприятии существуют следующие источники средств формирования материально-технической базы: </w:t>
      </w:r>
    </w:p>
    <w:p w14:paraId="26C5B4B9" w14:textId="09B2D6FB" w:rsidR="0047387E" w:rsidRPr="0047387E" w:rsidRDefault="0047387E" w:rsidP="007A769B">
      <w:pPr>
        <w:pStyle w:val="a8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>Воспроизводственные средства (ВС):</w:t>
      </w:r>
    </w:p>
    <w:p w14:paraId="704C3885" w14:textId="77777777" w:rsidR="0047387E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 xml:space="preserve"> ВС = Амортизационный ресурс. </w:t>
      </w:r>
    </w:p>
    <w:p w14:paraId="11C677A3" w14:textId="05E86044" w:rsidR="0047387E" w:rsidRDefault="0047387E" w:rsidP="007A769B">
      <w:pPr>
        <w:pStyle w:val="a8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>Наличие собственных инвестиционных средств (СИС):</w:t>
      </w:r>
    </w:p>
    <w:p w14:paraId="1E8A662F" w14:textId="77777777" w:rsidR="0047387E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 xml:space="preserve"> СИС = Амортизационный ресурс + Чистая прибыль + Прочие доходы.</w:t>
      </w:r>
    </w:p>
    <w:p w14:paraId="313B4662" w14:textId="4A07E190" w:rsidR="0047387E" w:rsidRDefault="0047387E" w:rsidP="007A769B">
      <w:pPr>
        <w:pStyle w:val="a8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>Общая величина основных источников формирования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387E">
        <w:rPr>
          <w:rFonts w:ascii="Times New Roman" w:hAnsi="Times New Roman" w:cs="Times New Roman"/>
          <w:sz w:val="24"/>
          <w:szCs w:val="24"/>
        </w:rPr>
        <w:t>технической базы:</w:t>
      </w:r>
    </w:p>
    <w:p w14:paraId="15B2B521" w14:textId="3CE2A735" w:rsidR="0047387E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 xml:space="preserve"> ОВС = Амортизационный ресурс + Чистая прибыль + Прочие доходы + Заемные средства (Кредиты банков) + Государственная поддержка. </w:t>
      </w:r>
    </w:p>
    <w:p w14:paraId="12BA579F" w14:textId="2E67662E" w:rsidR="0047387E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87E">
        <w:rPr>
          <w:rFonts w:ascii="Times New Roman" w:hAnsi="Times New Roman" w:cs="Times New Roman"/>
          <w:sz w:val="24"/>
          <w:szCs w:val="24"/>
        </w:rPr>
        <w:t xml:space="preserve">Для оценки достаточности средств на покрытия износа (Из) используется показатель абсолютной величины сальдо соответствующих денежных потоков с учетом вектора направленности (Ф) в виде излишка (+) или недостатка (–): </w:t>
      </w:r>
    </w:p>
    <w:p w14:paraId="31C2AAAA" w14:textId="77777777" w:rsidR="0047387E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>Излишек (+) или недостаток (–) воспроизводственных средств (ВС) покрытия износа</w:t>
      </w:r>
    </w:p>
    <w:p w14:paraId="4751050A" w14:textId="0A3B290D" w:rsidR="0047387E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 xml:space="preserve">: ± ФВС = ВС – Из, </w:t>
      </w:r>
    </w:p>
    <w:p w14:paraId="6AB15EF4" w14:textId="77777777" w:rsidR="0047387E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 xml:space="preserve">где Из – стоимость совокупного износа. </w:t>
      </w:r>
    </w:p>
    <w:p w14:paraId="2E68AE79" w14:textId="77777777" w:rsidR="0047387E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 xml:space="preserve">Излишек (+) или недостаток (–) собственных инвестиционных средств (СИС) покрытия износа: </w:t>
      </w:r>
    </w:p>
    <w:p w14:paraId="186F3B21" w14:textId="77777777" w:rsidR="0047387E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 xml:space="preserve">± ФСИС = СИС – Из. </w:t>
      </w:r>
    </w:p>
    <w:p w14:paraId="78EDEFB7" w14:textId="77777777" w:rsidR="007A769B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 xml:space="preserve">Излишек (+) или недостаток (–) общей величины основных источников (ОВС) для покрытия износа: ± ФОВС = ОСВ – Из. </w:t>
      </w:r>
    </w:p>
    <w:p w14:paraId="6458EAA4" w14:textId="5EF8C6C8" w:rsidR="007A769B" w:rsidRPr="007A769B" w:rsidRDefault="0047387E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 xml:space="preserve">В табл. 4 приведены уровни достаточности средств на покрытие износа, которые предложены Н. Н. </w:t>
      </w:r>
      <w:proofErr w:type="spellStart"/>
      <w:r w:rsidRPr="007A769B">
        <w:rPr>
          <w:rFonts w:ascii="Times New Roman" w:hAnsi="Times New Roman" w:cs="Times New Roman"/>
          <w:sz w:val="24"/>
          <w:szCs w:val="24"/>
        </w:rPr>
        <w:t>Бартковой</w:t>
      </w:r>
      <w:proofErr w:type="spellEnd"/>
      <w:r w:rsidRPr="007A769B">
        <w:rPr>
          <w:rFonts w:ascii="Times New Roman" w:hAnsi="Times New Roman" w:cs="Times New Roman"/>
          <w:sz w:val="24"/>
          <w:szCs w:val="24"/>
        </w:rPr>
        <w:t xml:space="preserve"> и Н. Н. </w:t>
      </w:r>
      <w:proofErr w:type="spellStart"/>
      <w:r w:rsidRPr="007A769B">
        <w:rPr>
          <w:rFonts w:ascii="Times New Roman" w:hAnsi="Times New Roman" w:cs="Times New Roman"/>
          <w:sz w:val="24"/>
          <w:szCs w:val="24"/>
        </w:rPr>
        <w:t>Крупиной</w:t>
      </w:r>
      <w:proofErr w:type="spellEnd"/>
      <w:r w:rsidRPr="007A76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35425A" w14:textId="28E25CAE" w:rsidR="007A769B" w:rsidRPr="007A769B" w:rsidRDefault="007A769B" w:rsidP="007A76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69B">
        <w:rPr>
          <w:rFonts w:ascii="Times New Roman" w:hAnsi="Times New Roman" w:cs="Times New Roman"/>
          <w:sz w:val="24"/>
          <w:szCs w:val="24"/>
        </w:rPr>
        <w:t>Таблица 4 - Уровни достаточности средств на покрытие износа</w:t>
      </w:r>
    </w:p>
    <w:p w14:paraId="0EE2A46B" w14:textId="0DD80566" w:rsidR="007A769B" w:rsidRPr="007A769B" w:rsidRDefault="007A769B" w:rsidP="0047387E">
      <w:pPr>
        <w:pStyle w:val="a8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750F9D1" w14:textId="398181AC" w:rsidR="007A769B" w:rsidRDefault="007A769B" w:rsidP="0047387E">
      <w:pPr>
        <w:pStyle w:val="a8"/>
        <w:spacing w:after="0"/>
        <w:ind w:left="786"/>
        <w:jc w:val="both"/>
      </w:pPr>
      <w:r w:rsidRPr="007A769B">
        <w:rPr>
          <w:noProof/>
        </w:rPr>
        <w:drawing>
          <wp:inline distT="0" distB="0" distL="0" distR="0" wp14:anchorId="38587502" wp14:editId="28DA0A7E">
            <wp:extent cx="5424985" cy="160291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2" t="3642" r="6486" b="12122"/>
                    <a:stretch/>
                  </pic:blipFill>
                  <pic:spPr bwMode="auto">
                    <a:xfrm>
                      <a:off x="0" y="0"/>
                      <a:ext cx="5432922" cy="160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4F27F" w14:textId="4BDC171C" w:rsidR="007A769B" w:rsidRDefault="007A769B" w:rsidP="0047387E">
      <w:pPr>
        <w:pStyle w:val="a8"/>
        <w:spacing w:after="0"/>
        <w:ind w:left="786"/>
        <w:jc w:val="both"/>
      </w:pPr>
    </w:p>
    <w:p w14:paraId="556F7745" w14:textId="303F73B3" w:rsidR="007A769B" w:rsidRDefault="007A769B" w:rsidP="0047387E">
      <w:pPr>
        <w:pStyle w:val="a8"/>
        <w:spacing w:after="0"/>
        <w:ind w:left="786"/>
        <w:jc w:val="both"/>
      </w:pPr>
    </w:p>
    <w:p w14:paraId="0D466782" w14:textId="60FD92A8" w:rsidR="007A769B" w:rsidRDefault="007A769B" w:rsidP="0047387E">
      <w:pPr>
        <w:pStyle w:val="a8"/>
        <w:spacing w:after="0"/>
        <w:ind w:left="786"/>
        <w:jc w:val="both"/>
      </w:pPr>
    </w:p>
    <w:p w14:paraId="7AF02C37" w14:textId="6ADD3D7A" w:rsidR="007A769B" w:rsidRDefault="007A769B" w:rsidP="0047387E">
      <w:pPr>
        <w:pStyle w:val="a8"/>
        <w:spacing w:after="0"/>
        <w:ind w:left="786"/>
        <w:jc w:val="both"/>
      </w:pPr>
    </w:p>
    <w:p w14:paraId="448C6921" w14:textId="59AA01E9" w:rsidR="007A769B" w:rsidRDefault="007A769B" w:rsidP="0047387E">
      <w:pPr>
        <w:pStyle w:val="a8"/>
        <w:spacing w:after="0"/>
        <w:ind w:left="786"/>
        <w:jc w:val="both"/>
      </w:pPr>
    </w:p>
    <w:p w14:paraId="6A182933" w14:textId="77777777" w:rsidR="007A769B" w:rsidRDefault="007A769B" w:rsidP="0047387E">
      <w:pPr>
        <w:pStyle w:val="a8"/>
        <w:spacing w:after="0"/>
        <w:ind w:left="786"/>
        <w:jc w:val="both"/>
      </w:pPr>
    </w:p>
    <w:p w14:paraId="0C884225" w14:textId="625E3F5C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3957FDF9" w14:textId="52EB7BE4" w:rsidR="007A769B" w:rsidRPr="007A769B" w:rsidRDefault="007A769B" w:rsidP="00D969C7">
      <w:pPr>
        <w:spacing w:after="0"/>
        <w:ind w:firstLine="426"/>
        <w:rPr>
          <w:rFonts w:ascii="Times New Roman" w:hAnsi="Times New Roman" w:cs="Times New Roman"/>
        </w:rPr>
      </w:pPr>
      <w:r w:rsidRPr="007A769B">
        <w:rPr>
          <w:rFonts w:ascii="Times New Roman" w:hAnsi="Times New Roman" w:cs="Times New Roman"/>
        </w:rPr>
        <w:t xml:space="preserve">В табл. 5 приведены рассчитанные показатели финансового покрытия износа </w:t>
      </w:r>
      <w:proofErr w:type="gramStart"/>
      <w:r w:rsidR="00FD6376">
        <w:rPr>
          <w:rFonts w:ascii="Times New Roman" w:hAnsi="Times New Roman" w:cs="Times New Roman"/>
        </w:rPr>
        <w:t xml:space="preserve">организации </w:t>
      </w:r>
      <w:r w:rsidRPr="007A769B">
        <w:rPr>
          <w:rFonts w:ascii="Times New Roman" w:hAnsi="Times New Roman" w:cs="Times New Roman"/>
        </w:rPr>
        <w:t xml:space="preserve"> за</w:t>
      </w:r>
      <w:proofErr w:type="gramEnd"/>
      <w:r w:rsidRPr="007A769B">
        <w:rPr>
          <w:rFonts w:ascii="Times New Roman" w:hAnsi="Times New Roman" w:cs="Times New Roman"/>
        </w:rPr>
        <w:t xml:space="preserve"> 20</w:t>
      </w:r>
      <w:r w:rsidR="00FD6376">
        <w:rPr>
          <w:rFonts w:ascii="Times New Roman" w:hAnsi="Times New Roman" w:cs="Times New Roman"/>
        </w:rPr>
        <w:t>21</w:t>
      </w:r>
      <w:r w:rsidRPr="007A769B">
        <w:rPr>
          <w:rFonts w:ascii="Times New Roman" w:hAnsi="Times New Roman" w:cs="Times New Roman"/>
        </w:rPr>
        <w:t>–20</w:t>
      </w:r>
      <w:r w:rsidR="00FD6376">
        <w:rPr>
          <w:rFonts w:ascii="Times New Roman" w:hAnsi="Times New Roman" w:cs="Times New Roman"/>
        </w:rPr>
        <w:t>23</w:t>
      </w:r>
      <w:r w:rsidRPr="007A769B">
        <w:rPr>
          <w:rFonts w:ascii="Times New Roman" w:hAnsi="Times New Roman" w:cs="Times New Roman"/>
        </w:rPr>
        <w:t xml:space="preserve"> гг. </w:t>
      </w:r>
    </w:p>
    <w:p w14:paraId="54B195EC" w14:textId="3F3F92BB" w:rsidR="0047387E" w:rsidRPr="007A769B" w:rsidRDefault="007A769B" w:rsidP="00D969C7">
      <w:pPr>
        <w:spacing w:after="0"/>
        <w:ind w:firstLine="426"/>
        <w:rPr>
          <w:rFonts w:ascii="Times New Roman" w:hAnsi="Times New Roman" w:cs="Times New Roman"/>
        </w:rPr>
      </w:pPr>
      <w:r w:rsidRPr="007A769B">
        <w:rPr>
          <w:rFonts w:ascii="Times New Roman" w:hAnsi="Times New Roman" w:cs="Times New Roman"/>
        </w:rPr>
        <w:t xml:space="preserve">Таблица 5 - Показатели финансового покрытия износа </w:t>
      </w:r>
      <w:r w:rsidR="00FD6376">
        <w:rPr>
          <w:rFonts w:ascii="Times New Roman" w:hAnsi="Times New Roman" w:cs="Times New Roman"/>
        </w:rPr>
        <w:t>организации</w:t>
      </w:r>
      <w:r w:rsidRPr="007A769B">
        <w:rPr>
          <w:rFonts w:ascii="Times New Roman" w:hAnsi="Times New Roman" w:cs="Times New Roman"/>
        </w:rPr>
        <w:t xml:space="preserve"> за 2021–2023 гг.</w:t>
      </w:r>
    </w:p>
    <w:p w14:paraId="67CFE1A0" w14:textId="71DC99B4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5"/>
        <w:gridCol w:w="1432"/>
        <w:gridCol w:w="1432"/>
        <w:gridCol w:w="1433"/>
        <w:gridCol w:w="1505"/>
        <w:gridCol w:w="1418"/>
      </w:tblGrid>
      <w:tr w:rsidR="007A769B" w:rsidRPr="00FD6376" w14:paraId="7AFFFDF5" w14:textId="77777777" w:rsidTr="00FD6376">
        <w:tc>
          <w:tcPr>
            <w:tcW w:w="1557" w:type="dxa"/>
            <w:vAlign w:val="center"/>
          </w:tcPr>
          <w:p w14:paraId="157E6DA4" w14:textId="751C1B18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1557" w:type="dxa"/>
            <w:vAlign w:val="center"/>
          </w:tcPr>
          <w:p w14:paraId="2E40EA78" w14:textId="2C71ABEC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57" w:type="dxa"/>
            <w:vAlign w:val="center"/>
          </w:tcPr>
          <w:p w14:paraId="0B6FD8C9" w14:textId="457C3412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558" w:type="dxa"/>
            <w:vAlign w:val="center"/>
          </w:tcPr>
          <w:p w14:paraId="5CDC4CAB" w14:textId="2ECFC591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558" w:type="dxa"/>
            <w:vAlign w:val="center"/>
          </w:tcPr>
          <w:p w14:paraId="0A761810" w14:textId="361B0946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Отклонение за 2021-2023 гг., тыс. руб.</w:t>
            </w:r>
          </w:p>
        </w:tc>
        <w:tc>
          <w:tcPr>
            <w:tcW w:w="1558" w:type="dxa"/>
            <w:vAlign w:val="center"/>
          </w:tcPr>
          <w:p w14:paraId="6F85CC6A" w14:textId="0798AFD4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Темп роста, %</w:t>
            </w:r>
          </w:p>
        </w:tc>
      </w:tr>
      <w:tr w:rsidR="007A769B" w:rsidRPr="00FD6376" w14:paraId="48232A40" w14:textId="77777777" w:rsidTr="00FD6376">
        <w:tc>
          <w:tcPr>
            <w:tcW w:w="1557" w:type="dxa"/>
            <w:vAlign w:val="center"/>
          </w:tcPr>
          <w:p w14:paraId="49BE9F28" w14:textId="09FAD965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Амортизационный ресурс, тыс. руб.</w:t>
            </w:r>
          </w:p>
        </w:tc>
        <w:tc>
          <w:tcPr>
            <w:tcW w:w="1557" w:type="dxa"/>
            <w:vAlign w:val="center"/>
          </w:tcPr>
          <w:p w14:paraId="30ECA4D0" w14:textId="5B1D3F3F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133752</w:t>
            </w:r>
          </w:p>
        </w:tc>
        <w:tc>
          <w:tcPr>
            <w:tcW w:w="1557" w:type="dxa"/>
            <w:vAlign w:val="center"/>
          </w:tcPr>
          <w:p w14:paraId="017B8CE5" w14:textId="057D3081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161431</w:t>
            </w:r>
          </w:p>
        </w:tc>
        <w:tc>
          <w:tcPr>
            <w:tcW w:w="1558" w:type="dxa"/>
            <w:vAlign w:val="center"/>
          </w:tcPr>
          <w:p w14:paraId="7BD8CBAF" w14:textId="122F479D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199704</w:t>
            </w:r>
          </w:p>
        </w:tc>
        <w:tc>
          <w:tcPr>
            <w:tcW w:w="1558" w:type="dxa"/>
            <w:vAlign w:val="center"/>
          </w:tcPr>
          <w:p w14:paraId="470AF601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A8C6C4B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701AA51E" w14:textId="77777777" w:rsidTr="00FD6376">
        <w:tc>
          <w:tcPr>
            <w:tcW w:w="1557" w:type="dxa"/>
            <w:vAlign w:val="center"/>
          </w:tcPr>
          <w:p w14:paraId="0818AB26" w14:textId="3AFD73AB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Воспроизводственные средства (ВС), тыс. руб.</w:t>
            </w:r>
          </w:p>
        </w:tc>
        <w:tc>
          <w:tcPr>
            <w:tcW w:w="1557" w:type="dxa"/>
            <w:vAlign w:val="center"/>
          </w:tcPr>
          <w:p w14:paraId="356A98BD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5724C85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CEE7D8F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453985E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608F138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0D07BA24" w14:textId="77777777" w:rsidTr="00FD6376">
        <w:tc>
          <w:tcPr>
            <w:tcW w:w="1557" w:type="dxa"/>
            <w:vAlign w:val="center"/>
          </w:tcPr>
          <w:p w14:paraId="493D5D72" w14:textId="062F0D65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Чистая прибыль (убыток), тыс. руб.</w:t>
            </w:r>
          </w:p>
        </w:tc>
        <w:tc>
          <w:tcPr>
            <w:tcW w:w="1557" w:type="dxa"/>
            <w:vAlign w:val="center"/>
          </w:tcPr>
          <w:p w14:paraId="5236A778" w14:textId="454D3F00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-16123</w:t>
            </w:r>
          </w:p>
        </w:tc>
        <w:tc>
          <w:tcPr>
            <w:tcW w:w="1557" w:type="dxa"/>
            <w:vAlign w:val="center"/>
          </w:tcPr>
          <w:p w14:paraId="15C38442" w14:textId="2ABA9696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49156</w:t>
            </w:r>
          </w:p>
        </w:tc>
        <w:tc>
          <w:tcPr>
            <w:tcW w:w="1558" w:type="dxa"/>
            <w:vAlign w:val="center"/>
          </w:tcPr>
          <w:p w14:paraId="08B58D67" w14:textId="543649D1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75856</w:t>
            </w:r>
          </w:p>
        </w:tc>
        <w:tc>
          <w:tcPr>
            <w:tcW w:w="1558" w:type="dxa"/>
            <w:vAlign w:val="center"/>
          </w:tcPr>
          <w:p w14:paraId="37FE6F73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706701C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768FA392" w14:textId="77777777" w:rsidTr="00FD6376">
        <w:tc>
          <w:tcPr>
            <w:tcW w:w="1557" w:type="dxa"/>
            <w:vAlign w:val="center"/>
          </w:tcPr>
          <w:p w14:paraId="7C7CB3FE" w14:textId="63E173AB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Прочие доходы, тыс. руб.</w:t>
            </w:r>
          </w:p>
        </w:tc>
        <w:tc>
          <w:tcPr>
            <w:tcW w:w="1557" w:type="dxa"/>
            <w:vAlign w:val="center"/>
          </w:tcPr>
          <w:p w14:paraId="57120AF6" w14:textId="7D5534C5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460394</w:t>
            </w:r>
          </w:p>
        </w:tc>
        <w:tc>
          <w:tcPr>
            <w:tcW w:w="1557" w:type="dxa"/>
            <w:vAlign w:val="center"/>
          </w:tcPr>
          <w:p w14:paraId="6A3B6A96" w14:textId="702742B9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73882</w:t>
            </w:r>
          </w:p>
        </w:tc>
        <w:tc>
          <w:tcPr>
            <w:tcW w:w="1558" w:type="dxa"/>
            <w:vAlign w:val="center"/>
          </w:tcPr>
          <w:p w14:paraId="0474F9ED" w14:textId="25447BB4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150258</w:t>
            </w:r>
          </w:p>
        </w:tc>
        <w:tc>
          <w:tcPr>
            <w:tcW w:w="1558" w:type="dxa"/>
            <w:vAlign w:val="center"/>
          </w:tcPr>
          <w:p w14:paraId="16A4AF20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6DF10AD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4DBA3994" w14:textId="77777777" w:rsidTr="00FD6376">
        <w:tc>
          <w:tcPr>
            <w:tcW w:w="1557" w:type="dxa"/>
            <w:vAlign w:val="center"/>
          </w:tcPr>
          <w:p w14:paraId="7F83195D" w14:textId="15C3EC00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Собственные инвестиционные средства (СИС), тыс. руб.</w:t>
            </w:r>
          </w:p>
        </w:tc>
        <w:tc>
          <w:tcPr>
            <w:tcW w:w="1557" w:type="dxa"/>
            <w:vAlign w:val="center"/>
          </w:tcPr>
          <w:p w14:paraId="6370F267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F104FBA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FCF8B82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827B44C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63C98AF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011BDA81" w14:textId="77777777" w:rsidTr="00FD6376">
        <w:tc>
          <w:tcPr>
            <w:tcW w:w="1557" w:type="dxa"/>
            <w:vAlign w:val="center"/>
          </w:tcPr>
          <w:p w14:paraId="7C3FD1F5" w14:textId="4B0689CA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Кредиты банка (долгосрочные и краткосрочные), тыс. руб.</w:t>
            </w:r>
          </w:p>
        </w:tc>
        <w:tc>
          <w:tcPr>
            <w:tcW w:w="1557" w:type="dxa"/>
            <w:vAlign w:val="center"/>
          </w:tcPr>
          <w:p w14:paraId="37669320" w14:textId="787E0522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571939</w:t>
            </w:r>
          </w:p>
        </w:tc>
        <w:tc>
          <w:tcPr>
            <w:tcW w:w="1557" w:type="dxa"/>
            <w:vAlign w:val="center"/>
          </w:tcPr>
          <w:p w14:paraId="7526F47C" w14:textId="63247249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423508</w:t>
            </w:r>
          </w:p>
        </w:tc>
        <w:tc>
          <w:tcPr>
            <w:tcW w:w="1558" w:type="dxa"/>
            <w:vAlign w:val="center"/>
          </w:tcPr>
          <w:p w14:paraId="727E2C49" w14:textId="6D45344A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384391</w:t>
            </w:r>
          </w:p>
        </w:tc>
        <w:tc>
          <w:tcPr>
            <w:tcW w:w="1558" w:type="dxa"/>
            <w:vAlign w:val="center"/>
          </w:tcPr>
          <w:p w14:paraId="6D75D471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C63F0DB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45FC86BC" w14:textId="77777777" w:rsidTr="00FD6376">
        <w:tc>
          <w:tcPr>
            <w:tcW w:w="1557" w:type="dxa"/>
            <w:vAlign w:val="center"/>
          </w:tcPr>
          <w:p w14:paraId="249A2B48" w14:textId="6D3FEC64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поддержка, тыс. руб.</w:t>
            </w:r>
          </w:p>
        </w:tc>
        <w:tc>
          <w:tcPr>
            <w:tcW w:w="1557" w:type="dxa"/>
            <w:vAlign w:val="center"/>
          </w:tcPr>
          <w:p w14:paraId="497B2746" w14:textId="485CA426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vAlign w:val="center"/>
          </w:tcPr>
          <w:p w14:paraId="149E7DAA" w14:textId="25122E55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center"/>
          </w:tcPr>
          <w:p w14:paraId="1F479AA8" w14:textId="45883544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center"/>
          </w:tcPr>
          <w:p w14:paraId="1904E5D7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BF23588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272BBB4F" w14:textId="77777777" w:rsidTr="00FD6376">
        <w:tc>
          <w:tcPr>
            <w:tcW w:w="1557" w:type="dxa"/>
            <w:vAlign w:val="center"/>
          </w:tcPr>
          <w:p w14:paraId="0B49DF65" w14:textId="256C9376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Общая величина основных источников формирования материально-технической базы (ОВС), тыс. руб.</w:t>
            </w:r>
          </w:p>
        </w:tc>
        <w:tc>
          <w:tcPr>
            <w:tcW w:w="1557" w:type="dxa"/>
            <w:vAlign w:val="center"/>
          </w:tcPr>
          <w:p w14:paraId="2C0BE263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EF8A862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460AF31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C2D9A62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C886230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9B" w:rsidRPr="00FD6376" w14:paraId="20571A4C" w14:textId="77777777" w:rsidTr="00FD6376">
        <w:tc>
          <w:tcPr>
            <w:tcW w:w="1557" w:type="dxa"/>
            <w:vAlign w:val="center"/>
          </w:tcPr>
          <w:p w14:paraId="3F063C9F" w14:textId="1874D88F" w:rsidR="007A769B" w:rsidRPr="00FD6376" w:rsidRDefault="007A769B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Общая величина заемных средств для покрытия износа</w:t>
            </w:r>
            <w:r w:rsidR="00FD6376" w:rsidRPr="00FD6376">
              <w:rPr>
                <w:rFonts w:ascii="Times New Roman" w:hAnsi="Times New Roman" w:cs="Times New Roman"/>
                <w:sz w:val="20"/>
                <w:szCs w:val="20"/>
              </w:rPr>
              <w:t xml:space="preserve"> (ОВС), тыс. руб.</w:t>
            </w:r>
          </w:p>
        </w:tc>
        <w:tc>
          <w:tcPr>
            <w:tcW w:w="1557" w:type="dxa"/>
            <w:vAlign w:val="center"/>
          </w:tcPr>
          <w:p w14:paraId="6D5086A3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454A041D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38CB1C3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78C6EE5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186EDA1" w14:textId="77777777" w:rsidR="007A769B" w:rsidRPr="00FD6376" w:rsidRDefault="007A769B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76" w:rsidRPr="00FD6376" w14:paraId="1081B3DD" w14:textId="77777777" w:rsidTr="00FD6376">
        <w:tc>
          <w:tcPr>
            <w:tcW w:w="1557" w:type="dxa"/>
            <w:vAlign w:val="center"/>
          </w:tcPr>
          <w:p w14:paraId="0EB10667" w14:textId="1AFA2D28" w:rsidR="00FD6376" w:rsidRPr="00FD6376" w:rsidRDefault="00FD6376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Общая величина источников покрытия износа (ОВИ), тыс. руб.</w:t>
            </w:r>
          </w:p>
        </w:tc>
        <w:tc>
          <w:tcPr>
            <w:tcW w:w="1557" w:type="dxa"/>
            <w:vAlign w:val="center"/>
          </w:tcPr>
          <w:p w14:paraId="384F4834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491C1DD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6C7265B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117608D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8DFE5DB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76" w:rsidRPr="00FD6376" w14:paraId="03655A38" w14:textId="77777777" w:rsidTr="00FD6376">
        <w:tc>
          <w:tcPr>
            <w:tcW w:w="1557" w:type="dxa"/>
            <w:vAlign w:val="center"/>
          </w:tcPr>
          <w:p w14:paraId="03256405" w14:textId="11C717DC" w:rsidR="00FD6376" w:rsidRPr="00FD6376" w:rsidRDefault="00FD6376" w:rsidP="00D96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Стоимость изношенных ОС (Из), тыс. руб.</w:t>
            </w:r>
          </w:p>
        </w:tc>
        <w:tc>
          <w:tcPr>
            <w:tcW w:w="1557" w:type="dxa"/>
            <w:vAlign w:val="center"/>
          </w:tcPr>
          <w:p w14:paraId="4C7AD215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EDA474D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6EE0D05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5764D8F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68A5180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76" w:rsidRPr="00FD6376" w14:paraId="69330C50" w14:textId="77777777" w:rsidTr="00FD6376">
        <w:tc>
          <w:tcPr>
            <w:tcW w:w="1557" w:type="dxa"/>
            <w:vAlign w:val="center"/>
          </w:tcPr>
          <w:p w14:paraId="6EC409A2" w14:textId="77777777" w:rsidR="00FD6376" w:rsidRPr="00FD6376" w:rsidRDefault="00FD6376" w:rsidP="00FD6376">
            <w:pPr>
              <w:pStyle w:val="a8"/>
              <w:ind w:left="0"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Излишек (+) или недостаток (–) воспроизводственных средств (ВС) покрытия износа</w:t>
            </w:r>
          </w:p>
          <w:p w14:paraId="6290764A" w14:textId="663E6EAA" w:rsidR="00FD6376" w:rsidRPr="00FD6376" w:rsidRDefault="00FD6376" w:rsidP="00FD6376">
            <w:pPr>
              <w:pStyle w:val="a8"/>
              <w:ind w:left="0"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 xml:space="preserve">: ± ФВС = ВС – Из, </w:t>
            </w:r>
          </w:p>
        </w:tc>
        <w:tc>
          <w:tcPr>
            <w:tcW w:w="1557" w:type="dxa"/>
            <w:vAlign w:val="center"/>
          </w:tcPr>
          <w:p w14:paraId="5B16D2B1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59DBA07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EF65D55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C6767F6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60C194B" w14:textId="77777777" w:rsidR="00FD6376" w:rsidRPr="00FD6376" w:rsidRDefault="00FD6376" w:rsidP="00FD6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76" w:rsidRPr="00FD6376" w14:paraId="5E11A1DB" w14:textId="77777777" w:rsidTr="00FD6376">
        <w:tc>
          <w:tcPr>
            <w:tcW w:w="1557" w:type="dxa"/>
            <w:vAlign w:val="center"/>
          </w:tcPr>
          <w:p w14:paraId="1A41E493" w14:textId="77777777" w:rsidR="00FD6376" w:rsidRPr="00FD6376" w:rsidRDefault="00FD6376" w:rsidP="00FD6376">
            <w:pPr>
              <w:pStyle w:val="a8"/>
              <w:ind w:left="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 xml:space="preserve">Излишек (+) или недостаток (–) собственных инвестиционных средств (СИС) покрытия износа: </w:t>
            </w:r>
          </w:p>
          <w:p w14:paraId="43CC8662" w14:textId="18032D74" w:rsidR="00FD6376" w:rsidRPr="00FD6376" w:rsidRDefault="00FD6376" w:rsidP="00FD6376">
            <w:pPr>
              <w:pStyle w:val="a8"/>
              <w:ind w:left="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 xml:space="preserve">± ФСИС = СИС – Из. </w:t>
            </w:r>
          </w:p>
        </w:tc>
        <w:tc>
          <w:tcPr>
            <w:tcW w:w="1557" w:type="dxa"/>
            <w:vAlign w:val="center"/>
          </w:tcPr>
          <w:p w14:paraId="184C333F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E56C2F7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18257B9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06C0D74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C4CEC49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76" w:rsidRPr="00FD6376" w14:paraId="5C9A6BEE" w14:textId="77777777" w:rsidTr="00FD6376">
        <w:tc>
          <w:tcPr>
            <w:tcW w:w="1557" w:type="dxa"/>
            <w:vAlign w:val="center"/>
          </w:tcPr>
          <w:p w14:paraId="78EB7656" w14:textId="295409A8" w:rsidR="00FD6376" w:rsidRPr="00FD6376" w:rsidRDefault="00FD6376" w:rsidP="00FD6376">
            <w:pPr>
              <w:pStyle w:val="a8"/>
              <w:ind w:left="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 xml:space="preserve">Излишек (+) или недостаток (–) общей величины основных источников (ОВС) для покрытия износа: ± ФОВС = ОСВ – Из. </w:t>
            </w:r>
          </w:p>
        </w:tc>
        <w:tc>
          <w:tcPr>
            <w:tcW w:w="1557" w:type="dxa"/>
            <w:vAlign w:val="center"/>
          </w:tcPr>
          <w:p w14:paraId="7C27AA5D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8BFABFF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C361302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183DE24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AEDB737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376" w:rsidRPr="00FD6376" w14:paraId="473A0392" w14:textId="77777777" w:rsidTr="00FD6376">
        <w:tc>
          <w:tcPr>
            <w:tcW w:w="1557" w:type="dxa"/>
            <w:vAlign w:val="center"/>
          </w:tcPr>
          <w:p w14:paraId="04C72DE5" w14:textId="351A14AF" w:rsidR="00FD6376" w:rsidRPr="00FD6376" w:rsidRDefault="00FD6376" w:rsidP="00FD6376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D6376">
              <w:rPr>
                <w:rFonts w:ascii="Times New Roman" w:hAnsi="Times New Roman" w:cs="Times New Roman"/>
                <w:sz w:val="20"/>
                <w:szCs w:val="20"/>
              </w:rPr>
              <w:t>Трехкомпонентный показатель типа обеспечения ликвидации износа</w:t>
            </w:r>
          </w:p>
        </w:tc>
        <w:tc>
          <w:tcPr>
            <w:tcW w:w="1557" w:type="dxa"/>
            <w:vAlign w:val="center"/>
          </w:tcPr>
          <w:p w14:paraId="683853D9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3F5ABBC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2CA2776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0589D60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29A5EF8" w14:textId="77777777" w:rsidR="00FD6376" w:rsidRPr="00FD6376" w:rsidRDefault="00FD6376" w:rsidP="00FD6376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61F263" w14:textId="77777777" w:rsidR="007A769B" w:rsidRDefault="007A769B" w:rsidP="00FD6376">
      <w:pPr>
        <w:spacing w:after="0"/>
        <w:ind w:firstLine="142"/>
        <w:rPr>
          <w:rFonts w:ascii="Times New Roman" w:hAnsi="Times New Roman" w:cs="Times New Roman"/>
        </w:rPr>
      </w:pPr>
    </w:p>
    <w:p w14:paraId="4D77B484" w14:textId="44985B89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4EFF7512" w14:textId="393B0AD5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291B584F" w14:textId="19179AC1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39989F9A" w14:textId="2F2FA758" w:rsidR="0047387E" w:rsidRDefault="0047387E" w:rsidP="00D969C7">
      <w:pPr>
        <w:spacing w:after="0"/>
        <w:ind w:firstLine="426"/>
        <w:rPr>
          <w:rFonts w:ascii="Times New Roman" w:hAnsi="Times New Roman" w:cs="Times New Roman"/>
        </w:rPr>
      </w:pPr>
    </w:p>
    <w:p w14:paraId="5233B0FC" w14:textId="32CA81A3" w:rsidR="0047387E" w:rsidRPr="003A1B54" w:rsidRDefault="00FD6376" w:rsidP="00FD6376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FD6376">
        <w:rPr>
          <w:rFonts w:ascii="Times New Roman" w:hAnsi="Times New Roman" w:cs="Times New Roman"/>
          <w:b/>
          <w:bCs/>
        </w:rPr>
        <w:t>Выводы по результатам анализа амортизационной политики</w:t>
      </w:r>
      <w:r>
        <w:t xml:space="preserve"> </w:t>
      </w:r>
      <w:r w:rsidRPr="00FD6376">
        <w:rPr>
          <w:rFonts w:ascii="Times New Roman" w:hAnsi="Times New Roman" w:cs="Times New Roman"/>
          <w:b/>
          <w:bCs/>
        </w:rPr>
        <w:t>организации</w:t>
      </w:r>
    </w:p>
    <w:sectPr w:rsidR="0047387E" w:rsidRPr="003A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AC3"/>
    <w:multiLevelType w:val="multilevel"/>
    <w:tmpl w:val="0DA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26733"/>
    <w:multiLevelType w:val="multilevel"/>
    <w:tmpl w:val="BAF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D43F6"/>
    <w:multiLevelType w:val="hybridMultilevel"/>
    <w:tmpl w:val="AE34A138"/>
    <w:lvl w:ilvl="0" w:tplc="614E53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DA161E"/>
    <w:multiLevelType w:val="multilevel"/>
    <w:tmpl w:val="5F7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54"/>
    <w:rsid w:val="003A1B54"/>
    <w:rsid w:val="0041588D"/>
    <w:rsid w:val="0047387E"/>
    <w:rsid w:val="0048784E"/>
    <w:rsid w:val="004B680A"/>
    <w:rsid w:val="007A769B"/>
    <w:rsid w:val="008F62F6"/>
    <w:rsid w:val="00D969C7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80E7"/>
  <w15:chartTrackingRefBased/>
  <w15:docId w15:val="{F99C92DE-9D1A-4745-BBD3-0EF96B98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1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B54"/>
    <w:rPr>
      <w:b/>
      <w:bCs/>
    </w:rPr>
  </w:style>
  <w:style w:type="character" w:styleId="a5">
    <w:name w:val="Emphasis"/>
    <w:basedOn w:val="a0"/>
    <w:uiPriority w:val="20"/>
    <w:qFormat/>
    <w:rsid w:val="003A1B5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A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B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B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3A1B54"/>
    <w:rPr>
      <w:color w:val="0000FF"/>
      <w:u w:val="single"/>
    </w:rPr>
  </w:style>
  <w:style w:type="paragraph" w:customStyle="1" w:styleId="p-space">
    <w:name w:val="p-space"/>
    <w:basedOn w:val="a"/>
    <w:rsid w:val="003A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B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285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ор</dc:creator>
  <cp:keywords/>
  <dc:description/>
  <cp:lastModifiedBy>то ор</cp:lastModifiedBy>
  <cp:revision>2</cp:revision>
  <dcterms:created xsi:type="dcterms:W3CDTF">2024-02-12T06:51:00Z</dcterms:created>
  <dcterms:modified xsi:type="dcterms:W3CDTF">2024-02-12T08:12:00Z</dcterms:modified>
</cp:coreProperties>
</file>